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65BC3" w14:textId="77777777" w:rsidR="00A758BB" w:rsidRDefault="00A758BB">
      <w:r>
        <w:rPr>
          <w:noProof/>
          <w:lang w:eastAsia="pt-BR"/>
        </w:rPr>
        <w:drawing>
          <wp:anchor distT="0" distB="0" distL="114300" distR="114300" simplePos="0" relativeHeight="251658240" behindDoc="0" locked="0" layoutInCell="1" allowOverlap="1" wp14:anchorId="19A2FFBE" wp14:editId="2535D9B2">
            <wp:simplePos x="0" y="0"/>
            <wp:positionH relativeFrom="margin">
              <wp:align>center</wp:align>
            </wp:positionH>
            <wp:positionV relativeFrom="paragraph">
              <wp:posOffset>287655</wp:posOffset>
            </wp:positionV>
            <wp:extent cx="7781893" cy="1101906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a anual_Prancheta 1.png"/>
                    <pic:cNvPicPr/>
                  </pic:nvPicPr>
                  <pic:blipFill>
                    <a:blip r:embed="rId8">
                      <a:extLst>
                        <a:ext uri="{28A0092B-C50C-407E-A947-70E740481C1C}">
                          <a14:useLocalDpi xmlns:a14="http://schemas.microsoft.com/office/drawing/2010/main" val="0"/>
                        </a:ext>
                      </a:extLst>
                    </a:blip>
                    <a:stretch>
                      <a:fillRect/>
                    </a:stretch>
                  </pic:blipFill>
                  <pic:spPr>
                    <a:xfrm>
                      <a:off x="0" y="0"/>
                      <a:ext cx="7781893" cy="11019060"/>
                    </a:xfrm>
                    <a:prstGeom prst="rect">
                      <a:avLst/>
                    </a:prstGeom>
                  </pic:spPr>
                </pic:pic>
              </a:graphicData>
            </a:graphic>
            <wp14:sizeRelH relativeFrom="page">
              <wp14:pctWidth>0</wp14:pctWidth>
            </wp14:sizeRelH>
            <wp14:sizeRelV relativeFrom="page">
              <wp14:pctHeight>0</wp14:pctHeight>
            </wp14:sizeRelV>
          </wp:anchor>
        </w:drawing>
      </w:r>
    </w:p>
    <w:p w14:paraId="767AF4F2" w14:textId="77777777" w:rsidR="00A758BB" w:rsidRDefault="00A758BB">
      <w:r>
        <w:br w:type="page"/>
      </w:r>
    </w:p>
    <w:p w14:paraId="6613CF17" w14:textId="77777777" w:rsidR="00A758BB" w:rsidRPr="00722DDC" w:rsidRDefault="00A758BB" w:rsidP="00722DDC">
      <w:pPr>
        <w:jc w:val="both"/>
        <w:rPr>
          <w:rFonts w:cstheme="minorHAnsi"/>
          <w:b/>
          <w:bCs/>
          <w:color w:val="2C4272"/>
        </w:rPr>
      </w:pPr>
      <w:r w:rsidRPr="00722DDC">
        <w:rPr>
          <w:rFonts w:cstheme="minorHAnsi"/>
          <w:b/>
          <w:bCs/>
          <w:color w:val="2C4272"/>
        </w:rPr>
        <w:lastRenderedPageBreak/>
        <w:t>SUMÁRIO</w:t>
      </w:r>
    </w:p>
    <w:p w14:paraId="20FC83D8" w14:textId="77777777" w:rsidR="00EF632B" w:rsidRPr="00722DDC" w:rsidRDefault="00EF632B" w:rsidP="00722DDC">
      <w:pPr>
        <w:pStyle w:val="Default"/>
        <w:spacing w:line="360" w:lineRule="auto"/>
        <w:jc w:val="both"/>
        <w:rPr>
          <w:rFonts w:asciiTheme="minorHAnsi" w:hAnsiTheme="minorHAnsi" w:cstheme="minorHAnsi"/>
          <w:color w:val="767171" w:themeColor="background2" w:themeShade="80"/>
          <w:sz w:val="22"/>
          <w:szCs w:val="22"/>
        </w:rPr>
      </w:pPr>
    </w:p>
    <w:p w14:paraId="125AAAD2" w14:textId="02CF093D"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 xml:space="preserve">Mensagem do </w:t>
      </w:r>
      <w:r w:rsidR="00433E51" w:rsidRPr="00C00AE5">
        <w:rPr>
          <w:rFonts w:asciiTheme="minorHAnsi" w:hAnsiTheme="minorHAnsi" w:cstheme="minorHAnsi"/>
          <w:color w:val="767171" w:themeColor="background2" w:themeShade="80"/>
          <w:sz w:val="22"/>
          <w:szCs w:val="22"/>
        </w:rPr>
        <w:t>Presidente</w:t>
      </w:r>
      <w:r w:rsidR="00433E51" w:rsidRPr="00775882">
        <w:rPr>
          <w:rFonts w:asciiTheme="minorHAnsi" w:hAnsiTheme="minorHAnsi" w:cstheme="minorHAnsi"/>
          <w:color w:val="767171" w:themeColor="background2" w:themeShade="80"/>
          <w:sz w:val="22"/>
          <w:szCs w:val="22"/>
        </w:rPr>
        <w:t xml:space="preserve"> ………………………..</w:t>
      </w:r>
      <w:r w:rsidRPr="00775882">
        <w:rPr>
          <w:rFonts w:asciiTheme="minorHAnsi" w:hAnsiTheme="minorHAnsi" w:cstheme="minorHAnsi"/>
          <w:color w:val="767171" w:themeColor="background2" w:themeShade="80"/>
          <w:sz w:val="22"/>
          <w:szCs w:val="22"/>
        </w:rPr>
        <w:t>.....................................................</w:t>
      </w:r>
      <w:r w:rsidR="001657F2" w:rsidRPr="0077588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 xml:space="preserve">3 </w:t>
      </w:r>
    </w:p>
    <w:p w14:paraId="3B57FA5A" w14:textId="2CF73F6D"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 xml:space="preserve">Identificação geral da </w:t>
      </w:r>
      <w:proofErr w:type="spellStart"/>
      <w:r w:rsidRPr="00722DDC">
        <w:rPr>
          <w:rFonts w:asciiTheme="minorHAnsi" w:hAnsiTheme="minorHAnsi" w:cstheme="minorHAnsi"/>
          <w:color w:val="767171" w:themeColor="background2" w:themeShade="80"/>
          <w:sz w:val="22"/>
          <w:szCs w:val="22"/>
        </w:rPr>
        <w:t>Pré</w:t>
      </w:r>
      <w:proofErr w:type="spellEnd"/>
      <w:r w:rsidRPr="00722DDC">
        <w:rPr>
          <w:rFonts w:asciiTheme="minorHAnsi" w:hAnsiTheme="minorHAnsi" w:cstheme="minorHAnsi"/>
          <w:color w:val="767171" w:themeColor="background2" w:themeShade="80"/>
          <w:sz w:val="22"/>
          <w:szCs w:val="22"/>
        </w:rPr>
        <w:t>-Sal Petróleo</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4</w:t>
      </w:r>
      <w:r w:rsidRPr="00722DDC">
        <w:rPr>
          <w:rFonts w:asciiTheme="minorHAnsi" w:hAnsiTheme="minorHAnsi" w:cstheme="minorHAnsi"/>
          <w:color w:val="767171" w:themeColor="background2" w:themeShade="80"/>
          <w:sz w:val="22"/>
          <w:szCs w:val="22"/>
        </w:rPr>
        <w:t xml:space="preserve"> </w:t>
      </w:r>
    </w:p>
    <w:p w14:paraId="392C3426" w14:textId="5936094F"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Composição acionária</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5</w:t>
      </w:r>
      <w:r w:rsidRPr="00722DDC">
        <w:rPr>
          <w:rFonts w:asciiTheme="minorHAnsi" w:hAnsiTheme="minorHAnsi" w:cstheme="minorHAnsi"/>
          <w:color w:val="767171" w:themeColor="background2" w:themeShade="80"/>
          <w:sz w:val="22"/>
          <w:szCs w:val="22"/>
        </w:rPr>
        <w:t xml:space="preserve"> </w:t>
      </w:r>
    </w:p>
    <w:p w14:paraId="6FD96D65" w14:textId="3CAD2375"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Interesse público subjacente às atividades empresariais ..............................</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5</w:t>
      </w:r>
      <w:r w:rsidRPr="00722DDC">
        <w:rPr>
          <w:rFonts w:asciiTheme="minorHAnsi" w:hAnsiTheme="minorHAnsi" w:cstheme="minorHAnsi"/>
          <w:color w:val="767171" w:themeColor="background2" w:themeShade="80"/>
          <w:sz w:val="22"/>
          <w:szCs w:val="22"/>
        </w:rPr>
        <w:t xml:space="preserve"> </w:t>
      </w:r>
    </w:p>
    <w:p w14:paraId="0346A27F" w14:textId="26D00B03"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 xml:space="preserve">Políticas públicas e </w:t>
      </w:r>
      <w:r w:rsidR="00775882" w:rsidRPr="00775882">
        <w:rPr>
          <w:rFonts w:asciiTheme="minorHAnsi" w:hAnsiTheme="minorHAnsi" w:cstheme="minorHAnsi"/>
          <w:color w:val="767171" w:themeColor="background2" w:themeShade="80"/>
          <w:sz w:val="22"/>
          <w:szCs w:val="22"/>
        </w:rPr>
        <w:t>a</w:t>
      </w:r>
      <w:r w:rsidRPr="00C00AE5">
        <w:rPr>
          <w:rFonts w:asciiTheme="minorHAnsi" w:hAnsiTheme="minorHAnsi" w:cstheme="minorHAnsi"/>
          <w:color w:val="767171" w:themeColor="background2" w:themeShade="80"/>
          <w:sz w:val="22"/>
          <w:szCs w:val="22"/>
        </w:rPr>
        <w:t>tividades</w:t>
      </w:r>
      <w:r w:rsidRPr="00775882">
        <w:rPr>
          <w:rFonts w:asciiTheme="minorHAnsi" w:hAnsiTheme="minorHAnsi" w:cstheme="minorHAnsi"/>
          <w:color w:val="767171" w:themeColor="background2" w:themeShade="80"/>
          <w:sz w:val="22"/>
          <w:szCs w:val="22"/>
        </w:rPr>
        <w:t xml:space="preserve"> desenvolvidas</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C00AE5">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 xml:space="preserve">. </w:t>
      </w:r>
      <w:r w:rsidR="00E1110A" w:rsidRPr="00E1110A">
        <w:rPr>
          <w:rFonts w:asciiTheme="minorHAnsi" w:hAnsiTheme="minorHAnsi" w:cstheme="minorHAnsi"/>
          <w:b/>
          <w:bCs/>
          <w:color w:val="767171" w:themeColor="background2" w:themeShade="80"/>
          <w:sz w:val="22"/>
          <w:szCs w:val="22"/>
        </w:rPr>
        <w:t>8</w:t>
      </w:r>
      <w:r w:rsidRPr="00E1110A">
        <w:rPr>
          <w:rFonts w:asciiTheme="minorHAnsi" w:hAnsiTheme="minorHAnsi" w:cstheme="minorHAnsi"/>
          <w:b/>
          <w:bCs/>
          <w:color w:val="767171" w:themeColor="background2" w:themeShade="80"/>
          <w:sz w:val="22"/>
          <w:szCs w:val="22"/>
        </w:rPr>
        <w:t xml:space="preserve"> </w:t>
      </w:r>
    </w:p>
    <w:p w14:paraId="0CCF2C7A" w14:textId="2493D3B7" w:rsidR="00600F11" w:rsidRPr="00D25DFE" w:rsidRDefault="00600F11" w:rsidP="00722DDC">
      <w:pPr>
        <w:pStyle w:val="Default"/>
        <w:spacing w:line="360" w:lineRule="auto"/>
        <w:jc w:val="both"/>
        <w:rPr>
          <w:rFonts w:asciiTheme="minorHAnsi" w:hAnsiTheme="minorHAnsi" w:cstheme="minorHAnsi"/>
          <w:b/>
          <w:bCs/>
          <w:color w:val="767171" w:themeColor="background2" w:themeShade="80"/>
          <w:sz w:val="22"/>
          <w:szCs w:val="22"/>
        </w:rPr>
      </w:pPr>
      <w:r>
        <w:rPr>
          <w:rFonts w:asciiTheme="minorHAnsi" w:hAnsiTheme="minorHAnsi" w:cstheme="minorHAnsi"/>
          <w:color w:val="767171" w:themeColor="background2" w:themeShade="80"/>
          <w:sz w:val="22"/>
          <w:szCs w:val="22"/>
        </w:rPr>
        <w:t>Transformação Digital …………………………………</w:t>
      </w:r>
      <w:r w:rsidR="004A7DA8">
        <w:rPr>
          <w:rFonts w:asciiTheme="minorHAnsi" w:hAnsiTheme="minorHAnsi" w:cstheme="minorHAnsi"/>
          <w:color w:val="767171" w:themeColor="background2" w:themeShade="80"/>
          <w:sz w:val="22"/>
          <w:szCs w:val="22"/>
        </w:rPr>
        <w:t>……</w:t>
      </w:r>
      <w:r>
        <w:rPr>
          <w:rFonts w:asciiTheme="minorHAnsi" w:hAnsiTheme="minorHAnsi" w:cstheme="minorHAnsi"/>
          <w:color w:val="767171" w:themeColor="background2" w:themeShade="80"/>
          <w:sz w:val="22"/>
          <w:szCs w:val="22"/>
        </w:rPr>
        <w:t>………………………………………………………………</w:t>
      </w:r>
      <w:r w:rsidR="004A7DA8">
        <w:rPr>
          <w:rFonts w:asciiTheme="minorHAnsi" w:hAnsiTheme="minorHAnsi" w:cstheme="minorHAnsi"/>
          <w:color w:val="767171" w:themeColor="background2" w:themeShade="80"/>
          <w:sz w:val="22"/>
          <w:szCs w:val="22"/>
        </w:rPr>
        <w:t>…</w:t>
      </w:r>
      <w:proofErr w:type="gramStart"/>
      <w:r w:rsidR="00987261">
        <w:rPr>
          <w:rFonts w:asciiTheme="minorHAnsi" w:hAnsiTheme="minorHAnsi" w:cstheme="minorHAnsi"/>
          <w:color w:val="767171" w:themeColor="background2" w:themeShade="80"/>
          <w:sz w:val="22"/>
          <w:szCs w:val="22"/>
        </w:rPr>
        <w:t>….</w:t>
      </w:r>
      <w:r>
        <w:rPr>
          <w:rFonts w:asciiTheme="minorHAnsi" w:hAnsiTheme="minorHAnsi" w:cstheme="minorHAnsi"/>
          <w:color w:val="767171" w:themeColor="background2" w:themeShade="80"/>
          <w:sz w:val="22"/>
          <w:szCs w:val="22"/>
        </w:rPr>
        <w:t>…</w:t>
      </w:r>
      <w:r w:rsidR="00987261">
        <w:rPr>
          <w:rFonts w:asciiTheme="minorHAnsi" w:hAnsiTheme="minorHAnsi" w:cstheme="minorHAnsi"/>
          <w:color w:val="767171" w:themeColor="background2" w:themeShade="80"/>
          <w:sz w:val="22"/>
          <w:szCs w:val="22"/>
        </w:rPr>
        <w:t>.</w:t>
      </w:r>
      <w:r>
        <w:rPr>
          <w:rFonts w:asciiTheme="minorHAnsi" w:hAnsiTheme="minorHAnsi" w:cstheme="minorHAnsi"/>
          <w:color w:val="767171" w:themeColor="background2" w:themeShade="80"/>
          <w:sz w:val="22"/>
          <w:szCs w:val="22"/>
        </w:rPr>
        <w:t>.</w:t>
      </w:r>
      <w:proofErr w:type="gramEnd"/>
      <w:r w:rsidR="001B5819" w:rsidRPr="00D25DFE">
        <w:rPr>
          <w:rFonts w:asciiTheme="minorHAnsi" w:hAnsiTheme="minorHAnsi" w:cstheme="minorHAnsi"/>
          <w:b/>
          <w:bCs/>
          <w:color w:val="767171" w:themeColor="background2" w:themeShade="80"/>
          <w:sz w:val="22"/>
          <w:szCs w:val="22"/>
        </w:rPr>
        <w:t>19</w:t>
      </w:r>
    </w:p>
    <w:p w14:paraId="47D49DB4" w14:textId="13B473E7"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Metas em relação ao desenvolvimento da atividade.............................</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C00AE5">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1</w:t>
      </w:r>
      <w:r w:rsidR="00E1110A">
        <w:rPr>
          <w:rFonts w:asciiTheme="minorHAnsi" w:hAnsiTheme="minorHAnsi" w:cstheme="minorHAnsi"/>
          <w:b/>
          <w:bCs/>
          <w:color w:val="767171" w:themeColor="background2" w:themeShade="80"/>
          <w:sz w:val="22"/>
          <w:szCs w:val="22"/>
        </w:rPr>
        <w:t>9</w:t>
      </w:r>
      <w:r w:rsidRPr="00722DDC">
        <w:rPr>
          <w:rFonts w:asciiTheme="minorHAnsi" w:hAnsiTheme="minorHAnsi" w:cstheme="minorHAnsi"/>
          <w:color w:val="767171" w:themeColor="background2" w:themeShade="80"/>
          <w:sz w:val="22"/>
          <w:szCs w:val="22"/>
        </w:rPr>
        <w:t xml:space="preserve"> </w:t>
      </w:r>
    </w:p>
    <w:p w14:paraId="42B2EBBE" w14:textId="1C821C26" w:rsidR="00A758BB" w:rsidRPr="00E1110A"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Recursos para investimento e custeio .......................................................</w:t>
      </w:r>
      <w:r w:rsidR="001657F2">
        <w:rPr>
          <w:rFonts w:asciiTheme="minorHAnsi" w:hAnsiTheme="minorHAnsi" w:cstheme="minorHAnsi"/>
          <w:color w:val="767171" w:themeColor="background2" w:themeShade="80"/>
          <w:sz w:val="22"/>
          <w:szCs w:val="22"/>
        </w:rPr>
        <w:t>............................</w:t>
      </w:r>
      <w:r w:rsidR="00C00AE5">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 xml:space="preserve"> </w:t>
      </w:r>
      <w:r w:rsidR="00E1110A" w:rsidRPr="00E1110A">
        <w:rPr>
          <w:rFonts w:asciiTheme="minorHAnsi" w:hAnsiTheme="minorHAnsi" w:cstheme="minorHAnsi"/>
          <w:b/>
          <w:bCs/>
          <w:color w:val="767171" w:themeColor="background2" w:themeShade="80"/>
          <w:sz w:val="22"/>
          <w:szCs w:val="22"/>
        </w:rPr>
        <w:t>2</w:t>
      </w:r>
      <w:r w:rsidRPr="00E1110A">
        <w:rPr>
          <w:rFonts w:asciiTheme="minorHAnsi" w:hAnsiTheme="minorHAnsi" w:cstheme="minorHAnsi"/>
          <w:b/>
          <w:bCs/>
          <w:color w:val="767171" w:themeColor="background2" w:themeShade="80"/>
          <w:sz w:val="22"/>
          <w:szCs w:val="22"/>
        </w:rPr>
        <w:t>1</w:t>
      </w:r>
      <w:r w:rsidRPr="00E1110A">
        <w:rPr>
          <w:rFonts w:asciiTheme="minorHAnsi" w:hAnsiTheme="minorHAnsi" w:cstheme="minorHAnsi"/>
          <w:color w:val="767171" w:themeColor="background2" w:themeShade="80"/>
          <w:sz w:val="22"/>
          <w:szCs w:val="22"/>
        </w:rPr>
        <w:t xml:space="preserve"> </w:t>
      </w:r>
    </w:p>
    <w:p w14:paraId="650AB156" w14:textId="320E25F8" w:rsidR="00A758BB" w:rsidRPr="00E1110A"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E1110A">
        <w:rPr>
          <w:rFonts w:asciiTheme="minorHAnsi" w:hAnsiTheme="minorHAnsi" w:cstheme="minorHAnsi"/>
          <w:color w:val="767171" w:themeColor="background2" w:themeShade="80"/>
          <w:sz w:val="22"/>
          <w:szCs w:val="22"/>
        </w:rPr>
        <w:t>Informações financeiras .................................................................................</w:t>
      </w:r>
      <w:r w:rsidR="001657F2" w:rsidRPr="00E1110A">
        <w:rPr>
          <w:rFonts w:asciiTheme="minorHAnsi" w:hAnsiTheme="minorHAnsi" w:cstheme="minorHAnsi"/>
          <w:color w:val="767171" w:themeColor="background2" w:themeShade="80"/>
          <w:sz w:val="22"/>
          <w:szCs w:val="22"/>
        </w:rPr>
        <w:t>........................</w:t>
      </w:r>
      <w:r w:rsidR="00C00AE5" w:rsidRPr="00E1110A">
        <w:rPr>
          <w:rFonts w:asciiTheme="minorHAnsi" w:hAnsiTheme="minorHAnsi" w:cstheme="minorHAnsi"/>
          <w:color w:val="767171" w:themeColor="background2" w:themeShade="80"/>
          <w:sz w:val="22"/>
          <w:szCs w:val="22"/>
        </w:rPr>
        <w:t>.</w:t>
      </w:r>
      <w:r w:rsidR="001657F2" w:rsidRPr="00E1110A">
        <w:rPr>
          <w:rFonts w:asciiTheme="minorHAnsi" w:hAnsiTheme="minorHAnsi" w:cstheme="minorHAnsi"/>
          <w:color w:val="767171" w:themeColor="background2" w:themeShade="80"/>
          <w:sz w:val="22"/>
          <w:szCs w:val="22"/>
        </w:rPr>
        <w:t>.......</w:t>
      </w:r>
      <w:r w:rsidRPr="00E1110A">
        <w:rPr>
          <w:rFonts w:asciiTheme="minorHAnsi" w:hAnsiTheme="minorHAnsi" w:cstheme="minorHAnsi"/>
          <w:color w:val="767171" w:themeColor="background2" w:themeShade="80"/>
          <w:sz w:val="22"/>
          <w:szCs w:val="22"/>
        </w:rPr>
        <w:t xml:space="preserve">. </w:t>
      </w:r>
      <w:r w:rsidR="00E1110A" w:rsidRPr="00E1110A">
        <w:rPr>
          <w:rFonts w:asciiTheme="minorHAnsi" w:hAnsiTheme="minorHAnsi" w:cstheme="minorHAnsi"/>
          <w:b/>
          <w:bCs/>
          <w:color w:val="767171" w:themeColor="background2" w:themeShade="80"/>
          <w:sz w:val="22"/>
          <w:szCs w:val="22"/>
        </w:rPr>
        <w:t>22</w:t>
      </w:r>
      <w:r w:rsidRPr="00E1110A">
        <w:rPr>
          <w:rFonts w:asciiTheme="minorHAnsi" w:hAnsiTheme="minorHAnsi" w:cstheme="minorHAnsi"/>
          <w:b/>
          <w:bCs/>
          <w:color w:val="767171" w:themeColor="background2" w:themeShade="80"/>
          <w:sz w:val="22"/>
          <w:szCs w:val="22"/>
        </w:rPr>
        <w:t xml:space="preserve"> </w:t>
      </w:r>
    </w:p>
    <w:p w14:paraId="66421DDC" w14:textId="190ED603" w:rsidR="00A758BB" w:rsidRPr="00E1110A" w:rsidRDefault="00A758BB" w:rsidP="00722DDC">
      <w:pPr>
        <w:pStyle w:val="Default"/>
        <w:spacing w:line="360" w:lineRule="auto"/>
        <w:jc w:val="both"/>
        <w:rPr>
          <w:rFonts w:asciiTheme="minorHAnsi" w:hAnsiTheme="minorHAnsi" w:cstheme="minorHAnsi"/>
          <w:b/>
          <w:bCs/>
          <w:color w:val="767171" w:themeColor="background2" w:themeShade="80"/>
          <w:sz w:val="22"/>
          <w:szCs w:val="22"/>
        </w:rPr>
      </w:pPr>
      <w:r w:rsidRPr="00722DDC">
        <w:rPr>
          <w:rFonts w:asciiTheme="minorHAnsi" w:hAnsiTheme="minorHAnsi" w:cstheme="minorHAnsi"/>
          <w:color w:val="767171" w:themeColor="background2" w:themeShade="80"/>
          <w:sz w:val="22"/>
          <w:szCs w:val="22"/>
        </w:rPr>
        <w:t>Estrutura de controles internos e fatores de risco .......................................</w:t>
      </w:r>
      <w:r w:rsidR="00EA41F4"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00C00AE5">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 xml:space="preserve"> </w:t>
      </w:r>
      <w:r w:rsidR="00E1110A" w:rsidRPr="00E1110A">
        <w:rPr>
          <w:rFonts w:asciiTheme="minorHAnsi" w:hAnsiTheme="minorHAnsi" w:cstheme="minorHAnsi"/>
          <w:b/>
          <w:bCs/>
          <w:color w:val="767171" w:themeColor="background2" w:themeShade="80"/>
          <w:sz w:val="22"/>
          <w:szCs w:val="22"/>
        </w:rPr>
        <w:t>2</w:t>
      </w:r>
      <w:r w:rsidR="002B0B78">
        <w:rPr>
          <w:rFonts w:asciiTheme="minorHAnsi" w:hAnsiTheme="minorHAnsi" w:cstheme="minorHAnsi"/>
          <w:b/>
          <w:bCs/>
          <w:color w:val="767171" w:themeColor="background2" w:themeShade="80"/>
          <w:sz w:val="22"/>
          <w:szCs w:val="22"/>
        </w:rPr>
        <w:t>4</w:t>
      </w:r>
      <w:r w:rsidRPr="00E1110A">
        <w:rPr>
          <w:rFonts w:asciiTheme="minorHAnsi" w:hAnsiTheme="minorHAnsi" w:cstheme="minorHAnsi"/>
          <w:b/>
          <w:bCs/>
          <w:color w:val="767171" w:themeColor="background2" w:themeShade="80"/>
          <w:sz w:val="22"/>
          <w:szCs w:val="22"/>
        </w:rPr>
        <w:t xml:space="preserve"> </w:t>
      </w:r>
    </w:p>
    <w:p w14:paraId="11807729" w14:textId="303F3D2C"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Políticas e práticas de governança corporativa .............................................</w:t>
      </w:r>
      <w:r w:rsidR="001657F2">
        <w:rPr>
          <w:rFonts w:asciiTheme="minorHAnsi" w:hAnsiTheme="minorHAnsi" w:cstheme="minorHAnsi"/>
          <w:color w:val="767171" w:themeColor="background2" w:themeShade="80"/>
          <w:sz w:val="22"/>
          <w:szCs w:val="22"/>
        </w:rPr>
        <w:t>..........................</w:t>
      </w:r>
      <w:r w:rsidR="00C00AE5">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2</w:t>
      </w:r>
      <w:r w:rsidR="002B0B78">
        <w:rPr>
          <w:rFonts w:asciiTheme="minorHAnsi" w:hAnsiTheme="minorHAnsi" w:cstheme="minorHAnsi"/>
          <w:b/>
          <w:bCs/>
          <w:color w:val="767171" w:themeColor="background2" w:themeShade="80"/>
          <w:sz w:val="22"/>
          <w:szCs w:val="22"/>
        </w:rPr>
        <w:t>9</w:t>
      </w:r>
      <w:r w:rsidRPr="00722DDC">
        <w:rPr>
          <w:rFonts w:asciiTheme="minorHAnsi" w:hAnsiTheme="minorHAnsi" w:cstheme="minorHAnsi"/>
          <w:color w:val="767171" w:themeColor="background2" w:themeShade="80"/>
          <w:sz w:val="22"/>
          <w:szCs w:val="22"/>
        </w:rPr>
        <w:t xml:space="preserve"> </w:t>
      </w:r>
    </w:p>
    <w:p w14:paraId="08682B80" w14:textId="675F3195" w:rsidR="00A758BB" w:rsidRPr="00722DDC" w:rsidRDefault="00A758BB" w:rsidP="00722DDC">
      <w:pPr>
        <w:pStyle w:val="Default"/>
        <w:spacing w:line="360" w:lineRule="auto"/>
        <w:jc w:val="both"/>
        <w:rPr>
          <w:rFonts w:asciiTheme="minorHAnsi" w:hAnsiTheme="minorHAnsi" w:cstheme="minorHAnsi"/>
          <w:color w:val="767171" w:themeColor="background2" w:themeShade="80"/>
          <w:sz w:val="22"/>
          <w:szCs w:val="22"/>
        </w:rPr>
      </w:pPr>
      <w:r w:rsidRPr="00722DDC">
        <w:rPr>
          <w:rFonts w:asciiTheme="minorHAnsi" w:hAnsiTheme="minorHAnsi" w:cstheme="minorHAnsi"/>
          <w:color w:val="767171" w:themeColor="background2" w:themeShade="80"/>
          <w:sz w:val="22"/>
          <w:szCs w:val="22"/>
        </w:rPr>
        <w:t>Descrição da composição e da remuneração da administração</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00C00AE5">
        <w:rPr>
          <w:rFonts w:asciiTheme="minorHAnsi" w:hAnsiTheme="minorHAnsi" w:cstheme="minorHAnsi"/>
          <w:color w:val="767171" w:themeColor="background2" w:themeShade="80"/>
          <w:sz w:val="22"/>
          <w:szCs w:val="22"/>
        </w:rPr>
        <w:t>.</w:t>
      </w:r>
      <w:r w:rsidR="001657F2">
        <w:rPr>
          <w:rFonts w:asciiTheme="minorHAnsi" w:hAnsiTheme="minorHAnsi" w:cstheme="minorHAnsi"/>
          <w:color w:val="767171" w:themeColor="background2" w:themeShade="80"/>
          <w:sz w:val="22"/>
          <w:szCs w:val="22"/>
        </w:rPr>
        <w:t>.....</w:t>
      </w:r>
      <w:r w:rsidRPr="00722DDC">
        <w:rPr>
          <w:rFonts w:asciiTheme="minorHAnsi" w:hAnsiTheme="minorHAnsi" w:cstheme="minorHAnsi"/>
          <w:color w:val="767171" w:themeColor="background2" w:themeShade="80"/>
          <w:sz w:val="22"/>
          <w:szCs w:val="22"/>
        </w:rPr>
        <w:t>.</w:t>
      </w:r>
      <w:r w:rsidR="00EA41F4" w:rsidRPr="00722DDC">
        <w:rPr>
          <w:rFonts w:asciiTheme="minorHAnsi" w:hAnsiTheme="minorHAnsi" w:cstheme="minorHAnsi"/>
          <w:color w:val="767171" w:themeColor="background2" w:themeShade="80"/>
          <w:sz w:val="22"/>
          <w:szCs w:val="22"/>
        </w:rPr>
        <w:t xml:space="preserve"> </w:t>
      </w:r>
      <w:r w:rsidRPr="00722DDC">
        <w:rPr>
          <w:rFonts w:asciiTheme="minorHAnsi" w:hAnsiTheme="minorHAnsi" w:cstheme="minorHAnsi"/>
          <w:b/>
          <w:bCs/>
          <w:color w:val="767171" w:themeColor="background2" w:themeShade="80"/>
          <w:sz w:val="22"/>
          <w:szCs w:val="22"/>
        </w:rPr>
        <w:t>3</w:t>
      </w:r>
      <w:r w:rsidR="002B0B78">
        <w:rPr>
          <w:rFonts w:asciiTheme="minorHAnsi" w:hAnsiTheme="minorHAnsi" w:cstheme="minorHAnsi"/>
          <w:b/>
          <w:bCs/>
          <w:color w:val="767171" w:themeColor="background2" w:themeShade="80"/>
          <w:sz w:val="22"/>
          <w:szCs w:val="22"/>
        </w:rPr>
        <w:t>2</w:t>
      </w:r>
      <w:r w:rsidRPr="00722DDC">
        <w:rPr>
          <w:rFonts w:asciiTheme="minorHAnsi" w:hAnsiTheme="minorHAnsi" w:cstheme="minorHAnsi"/>
          <w:color w:val="767171" w:themeColor="background2" w:themeShade="80"/>
          <w:sz w:val="22"/>
          <w:szCs w:val="22"/>
        </w:rPr>
        <w:t xml:space="preserve"> </w:t>
      </w:r>
    </w:p>
    <w:p w14:paraId="1F598B8B" w14:textId="336321CC" w:rsidR="00A758BB" w:rsidRPr="00E1110A" w:rsidRDefault="00A758BB" w:rsidP="00722DDC">
      <w:pPr>
        <w:spacing w:line="360" w:lineRule="auto"/>
        <w:jc w:val="both"/>
        <w:rPr>
          <w:rFonts w:cstheme="minorHAnsi"/>
          <w:b/>
          <w:bCs/>
          <w:color w:val="767171" w:themeColor="background2" w:themeShade="80"/>
        </w:rPr>
      </w:pPr>
      <w:r w:rsidRPr="00722DDC">
        <w:rPr>
          <w:rFonts w:cstheme="minorHAnsi"/>
          <w:color w:val="767171" w:themeColor="background2" w:themeShade="80"/>
        </w:rPr>
        <w:t>Manifestação do Conselho de Administração</w:t>
      </w:r>
      <w:r w:rsidR="00EA41F4" w:rsidRPr="00722DDC">
        <w:rPr>
          <w:rFonts w:cstheme="minorHAnsi"/>
          <w:color w:val="767171" w:themeColor="background2" w:themeShade="80"/>
        </w:rPr>
        <w:t xml:space="preserve"> </w:t>
      </w:r>
      <w:r w:rsidRPr="00722DDC">
        <w:rPr>
          <w:rFonts w:cstheme="minorHAnsi"/>
          <w:color w:val="767171" w:themeColor="background2" w:themeShade="80"/>
        </w:rPr>
        <w:t>...............................................</w:t>
      </w:r>
      <w:r w:rsidR="001657F2">
        <w:rPr>
          <w:rFonts w:cstheme="minorHAnsi"/>
          <w:color w:val="767171" w:themeColor="background2" w:themeShade="80"/>
        </w:rPr>
        <w:t>.............................</w:t>
      </w:r>
      <w:r w:rsidR="00C00AE5">
        <w:rPr>
          <w:rFonts w:cstheme="minorHAnsi"/>
          <w:color w:val="767171" w:themeColor="background2" w:themeShade="80"/>
        </w:rPr>
        <w:t>.</w:t>
      </w:r>
      <w:r w:rsidR="001657F2">
        <w:rPr>
          <w:rFonts w:cstheme="minorHAnsi"/>
          <w:color w:val="767171" w:themeColor="background2" w:themeShade="80"/>
        </w:rPr>
        <w:t>.</w:t>
      </w:r>
      <w:r w:rsidRPr="00722DDC">
        <w:rPr>
          <w:rFonts w:cstheme="minorHAnsi"/>
          <w:color w:val="767171" w:themeColor="background2" w:themeShade="80"/>
        </w:rPr>
        <w:t>.</w:t>
      </w:r>
      <w:r w:rsidR="00EA41F4" w:rsidRPr="00722DDC">
        <w:rPr>
          <w:rFonts w:cstheme="minorHAnsi"/>
          <w:color w:val="767171" w:themeColor="background2" w:themeShade="80"/>
        </w:rPr>
        <w:t xml:space="preserve">. </w:t>
      </w:r>
      <w:r w:rsidR="00104C10">
        <w:rPr>
          <w:rFonts w:cstheme="minorHAnsi"/>
          <w:color w:val="767171" w:themeColor="background2" w:themeShade="80"/>
        </w:rPr>
        <w:t xml:space="preserve"> </w:t>
      </w:r>
      <w:r w:rsidR="00E1110A" w:rsidRPr="00E1110A">
        <w:rPr>
          <w:rFonts w:cstheme="minorHAnsi"/>
          <w:b/>
          <w:bCs/>
          <w:color w:val="767171" w:themeColor="background2" w:themeShade="80"/>
        </w:rPr>
        <w:t>3</w:t>
      </w:r>
      <w:r w:rsidR="002B0B78">
        <w:rPr>
          <w:rFonts w:cstheme="minorHAnsi"/>
          <w:b/>
          <w:bCs/>
          <w:color w:val="767171" w:themeColor="background2" w:themeShade="80"/>
        </w:rPr>
        <w:t>3</w:t>
      </w:r>
    </w:p>
    <w:p w14:paraId="494B1642" w14:textId="77777777" w:rsidR="00A758BB" w:rsidRPr="00722DDC" w:rsidRDefault="00A758BB" w:rsidP="00722DDC">
      <w:pPr>
        <w:jc w:val="both"/>
        <w:rPr>
          <w:rFonts w:cstheme="minorHAnsi"/>
          <w:color w:val="3B3838" w:themeColor="background2" w:themeShade="40"/>
        </w:rPr>
      </w:pPr>
      <w:r w:rsidRPr="00722DDC">
        <w:rPr>
          <w:rFonts w:cstheme="minorHAnsi"/>
          <w:color w:val="3B3838" w:themeColor="background2" w:themeShade="40"/>
        </w:rPr>
        <w:br w:type="page"/>
      </w:r>
    </w:p>
    <w:p w14:paraId="23C9CC58" w14:textId="25B68890" w:rsidR="00127FE8" w:rsidRPr="00722DDC" w:rsidRDefault="00433E51"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lastRenderedPageBreak/>
        <w:t xml:space="preserve">Mensagem do </w:t>
      </w:r>
      <w:r w:rsidRPr="00C00AE5">
        <w:rPr>
          <w:rFonts w:asciiTheme="minorHAnsi" w:hAnsiTheme="minorHAnsi" w:cstheme="minorHAnsi"/>
          <w:b/>
          <w:bCs/>
          <w:color w:val="008192"/>
          <w:sz w:val="22"/>
          <w:szCs w:val="22"/>
        </w:rPr>
        <w:t>Presidente</w:t>
      </w:r>
      <w:r w:rsidR="00F51469" w:rsidRPr="00722DDC">
        <w:rPr>
          <w:rFonts w:asciiTheme="minorHAnsi" w:hAnsiTheme="minorHAnsi" w:cstheme="minorHAnsi"/>
          <w:b/>
          <w:bCs/>
          <w:color w:val="008192"/>
          <w:sz w:val="22"/>
          <w:szCs w:val="22"/>
        </w:rPr>
        <w:t xml:space="preserve">  </w:t>
      </w:r>
    </w:p>
    <w:p w14:paraId="66A1BB66" w14:textId="77777777" w:rsidR="004B2817" w:rsidRPr="00722DDC" w:rsidRDefault="004B2817" w:rsidP="00722DDC">
      <w:pPr>
        <w:pStyle w:val="Default"/>
        <w:jc w:val="both"/>
        <w:rPr>
          <w:rFonts w:asciiTheme="minorHAnsi" w:hAnsiTheme="minorHAnsi" w:cstheme="minorHAnsi"/>
          <w:color w:val="008192"/>
          <w:sz w:val="22"/>
          <w:szCs w:val="22"/>
        </w:rPr>
      </w:pPr>
    </w:p>
    <w:p w14:paraId="34E2B2C4" w14:textId="77777777" w:rsidR="0036307B" w:rsidRPr="00722DDC" w:rsidRDefault="0036307B"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Mesmo antes de chegar à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-Sal Petróleo (PPSA), em abril de 2019, eu já estava ciente do enorme desafio que teria para promover o crescimento orgânico da empresa e prepará-la para atender às novas demandas que viriam, principalmente, com o até então previsto Leilão dos Volumes Excedentes da Cessão Onerosa. Entretanto, logo nas primeiras semanas, percebi que tínhamos o principal: uma equipe altamente qualificada e comprometida. Ainda que tivéssemos também um planejamento elaborado para o crescimento da demanda, faltavam, todavia, os recursos de mão de obra e de capital, visto o aumento de trabalho projetado para o próximo quinquênio. </w:t>
      </w:r>
    </w:p>
    <w:p w14:paraId="6AF32054" w14:textId="77777777" w:rsidR="0036307B" w:rsidRPr="00722DDC" w:rsidRDefault="0036307B" w:rsidP="00722DDC">
      <w:pPr>
        <w:pStyle w:val="Default"/>
        <w:jc w:val="both"/>
        <w:rPr>
          <w:rFonts w:asciiTheme="minorHAnsi" w:hAnsiTheme="minorHAnsi" w:cstheme="minorHAnsi"/>
          <w:sz w:val="22"/>
          <w:szCs w:val="22"/>
        </w:rPr>
      </w:pPr>
    </w:p>
    <w:p w14:paraId="12E0B4C6" w14:textId="29762949" w:rsidR="0036307B" w:rsidRPr="00722DDC" w:rsidRDefault="0036307B"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Trabalhamos firmes para instrumentar a empresa</w:t>
      </w:r>
      <w:r w:rsidR="00E97887">
        <w:rPr>
          <w:rFonts w:asciiTheme="minorHAnsi" w:hAnsiTheme="minorHAnsi" w:cstheme="minorHAnsi"/>
          <w:sz w:val="22"/>
          <w:szCs w:val="22"/>
        </w:rPr>
        <w:t xml:space="preserve"> e</w:t>
      </w:r>
      <w:r w:rsidRPr="00722DDC">
        <w:rPr>
          <w:rFonts w:asciiTheme="minorHAnsi" w:hAnsiTheme="minorHAnsi" w:cstheme="minorHAnsi"/>
          <w:sz w:val="22"/>
          <w:szCs w:val="22"/>
        </w:rPr>
        <w:t xml:space="preserve">, em menos de seis meses, a Secretaria de Coordenação e Governança das Empresas Estatais (SEST) autorizou a contratação de 23 profissionais de livre provimento. Para garantir a qualidade dos serviços frente aos desafios, também adquirimos novos softwares e demos continuidade ao nosso plano de transformação digital, que tem como projeto mais expressivo o Sistema de Gestão de Gastos de Partilha de Produção (SGPP), lançado em março de 2019. </w:t>
      </w:r>
    </w:p>
    <w:p w14:paraId="460EE869" w14:textId="77777777" w:rsidR="0036307B" w:rsidRPr="00722DDC" w:rsidRDefault="0036307B" w:rsidP="00722DDC">
      <w:pPr>
        <w:pStyle w:val="Default"/>
        <w:jc w:val="both"/>
        <w:rPr>
          <w:rFonts w:asciiTheme="minorHAnsi" w:hAnsiTheme="minorHAnsi" w:cstheme="minorHAnsi"/>
          <w:sz w:val="22"/>
          <w:szCs w:val="22"/>
        </w:rPr>
      </w:pPr>
    </w:p>
    <w:p w14:paraId="41CA2464" w14:textId="409BB30A" w:rsidR="0036307B" w:rsidRPr="00722DDC" w:rsidRDefault="0036307B"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Em regime de colaboração com os operadores, fizemos a gestão de 14 contratos de partilha de produção, com atividades diversas em todos os projetos e possibilidades promissoras de novas descobertas. Comercializamos a parcela de petróleo a qual a União tem direito em dois dos 14 contratos. Simultaneamente, comercializamos o gás da União em dois campos de petróleo. Em outra frente de atuação, representamos a União </w:t>
      </w:r>
      <w:r w:rsidRPr="00775882">
        <w:rPr>
          <w:rFonts w:asciiTheme="minorHAnsi" w:hAnsiTheme="minorHAnsi" w:cstheme="minorHAnsi"/>
          <w:sz w:val="22"/>
          <w:szCs w:val="22"/>
        </w:rPr>
        <w:t xml:space="preserve">nos </w:t>
      </w:r>
      <w:r w:rsidR="00775882">
        <w:rPr>
          <w:rFonts w:asciiTheme="minorHAnsi" w:hAnsiTheme="minorHAnsi" w:cstheme="minorHAnsi"/>
          <w:sz w:val="22"/>
          <w:szCs w:val="22"/>
        </w:rPr>
        <w:t>a</w:t>
      </w:r>
      <w:r w:rsidRPr="00C00AE5">
        <w:rPr>
          <w:rFonts w:asciiTheme="minorHAnsi" w:hAnsiTheme="minorHAnsi" w:cstheme="minorHAnsi"/>
          <w:sz w:val="22"/>
          <w:szCs w:val="22"/>
        </w:rPr>
        <w:t xml:space="preserve">cordos de </w:t>
      </w:r>
      <w:r w:rsidR="00775882">
        <w:rPr>
          <w:rFonts w:asciiTheme="minorHAnsi" w:hAnsiTheme="minorHAnsi" w:cstheme="minorHAnsi"/>
          <w:sz w:val="22"/>
          <w:szCs w:val="22"/>
        </w:rPr>
        <w:t>i</w:t>
      </w:r>
      <w:r w:rsidRPr="00C00AE5">
        <w:rPr>
          <w:rFonts w:asciiTheme="minorHAnsi" w:hAnsiTheme="minorHAnsi" w:cstheme="minorHAnsi"/>
          <w:sz w:val="22"/>
          <w:szCs w:val="22"/>
        </w:rPr>
        <w:t xml:space="preserve">ndividualização da </w:t>
      </w:r>
      <w:r w:rsidR="00775882">
        <w:rPr>
          <w:rFonts w:asciiTheme="minorHAnsi" w:hAnsiTheme="minorHAnsi" w:cstheme="minorHAnsi"/>
          <w:sz w:val="22"/>
          <w:szCs w:val="22"/>
        </w:rPr>
        <w:t>p</w:t>
      </w:r>
      <w:r w:rsidRPr="00C00AE5">
        <w:rPr>
          <w:rFonts w:asciiTheme="minorHAnsi" w:hAnsiTheme="minorHAnsi" w:cstheme="minorHAnsi"/>
          <w:sz w:val="22"/>
          <w:szCs w:val="22"/>
        </w:rPr>
        <w:t>rodução</w:t>
      </w:r>
      <w:r w:rsidRPr="00775882">
        <w:rPr>
          <w:rFonts w:asciiTheme="minorHAnsi" w:hAnsiTheme="minorHAnsi" w:cstheme="minorHAnsi"/>
          <w:sz w:val="22"/>
          <w:szCs w:val="22"/>
        </w:rPr>
        <w:t>, transformando as participações do governo em campos de petróleo em novos recursos</w:t>
      </w:r>
      <w:r w:rsidR="00E97887">
        <w:rPr>
          <w:rFonts w:asciiTheme="minorHAnsi" w:hAnsiTheme="minorHAnsi" w:cstheme="minorHAnsi"/>
          <w:sz w:val="22"/>
          <w:szCs w:val="22"/>
        </w:rPr>
        <w:t xml:space="preserve"> financeiros</w:t>
      </w:r>
      <w:r w:rsidRPr="00775882">
        <w:rPr>
          <w:rFonts w:asciiTheme="minorHAnsi" w:hAnsiTheme="minorHAnsi" w:cstheme="minorHAnsi"/>
          <w:sz w:val="22"/>
          <w:szCs w:val="22"/>
        </w:rPr>
        <w:t>. Com todas</w:t>
      </w:r>
      <w:r w:rsidRPr="00722DDC">
        <w:rPr>
          <w:rFonts w:asciiTheme="minorHAnsi" w:hAnsiTheme="minorHAnsi" w:cstheme="minorHAnsi"/>
          <w:sz w:val="22"/>
          <w:szCs w:val="22"/>
        </w:rPr>
        <w:t xml:space="preserve"> essas atividades, arrecadamos R$ 848 milhões para os cofres públicos em 2019.</w:t>
      </w:r>
    </w:p>
    <w:p w14:paraId="3CB88E00" w14:textId="77777777" w:rsidR="0036307B" w:rsidRPr="00722DDC" w:rsidRDefault="0036307B" w:rsidP="00722DDC">
      <w:pPr>
        <w:pStyle w:val="Default"/>
        <w:jc w:val="both"/>
        <w:rPr>
          <w:rFonts w:asciiTheme="minorHAnsi" w:hAnsiTheme="minorHAnsi" w:cstheme="minorHAnsi"/>
          <w:sz w:val="22"/>
          <w:szCs w:val="22"/>
        </w:rPr>
      </w:pPr>
    </w:p>
    <w:p w14:paraId="4F2D2D05" w14:textId="77777777" w:rsidR="0036307B" w:rsidRPr="00722DDC" w:rsidRDefault="0036307B"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Internamente, entendemos que era necessário aprimorar nossa governança. Criamos um Comitê de Auditoria Estatutária, fortalecemos ações de integridade junto à nossa equipe e aumentamos o relacionamento com públicos de interesse em diversos canais. Além do diretor-presidente, dois novos profissionais de excelente qualificação chegaram para compor a diretoria. </w:t>
      </w:r>
    </w:p>
    <w:p w14:paraId="09C61C7E" w14:textId="77777777" w:rsidR="0036307B" w:rsidRPr="00722DDC" w:rsidRDefault="0036307B" w:rsidP="00722DDC">
      <w:pPr>
        <w:pStyle w:val="Default"/>
        <w:jc w:val="both"/>
        <w:rPr>
          <w:rFonts w:asciiTheme="minorHAnsi" w:hAnsiTheme="minorHAnsi" w:cstheme="minorHAnsi"/>
          <w:sz w:val="22"/>
          <w:szCs w:val="22"/>
        </w:rPr>
      </w:pPr>
    </w:p>
    <w:p w14:paraId="27ACA596" w14:textId="73155033" w:rsidR="007C32C7" w:rsidRDefault="0036307B"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Ao fim de 2019, o governo realizou o esperado Leilão de Volumes Excedentes da Cessão Onerosa e da 6ª Rodada de Partilha de Produção, quando três campos foram arrematados. Assim, a PPSA passou a fazer a gestão de 17 contratos. Estamos prontos para es</w:t>
      </w:r>
      <w:r w:rsidR="007C32C7">
        <w:rPr>
          <w:rFonts w:asciiTheme="minorHAnsi" w:hAnsiTheme="minorHAnsi" w:cstheme="minorHAnsi"/>
          <w:sz w:val="22"/>
          <w:szCs w:val="22"/>
        </w:rPr>
        <w:t>s</w:t>
      </w:r>
      <w:r w:rsidRPr="00722DDC">
        <w:rPr>
          <w:rFonts w:asciiTheme="minorHAnsi" w:hAnsiTheme="minorHAnsi" w:cstheme="minorHAnsi"/>
          <w:sz w:val="22"/>
          <w:szCs w:val="22"/>
        </w:rPr>
        <w:t xml:space="preserve">e desafio e, a cada ano, nós nos preparamos mais para o futuro que se anuncia: estudo realizado em novembro pela nossa área de Planejamento Estratégico mostrava que, nos próximos anos, haverá crescimento significativo na parcela de óleo da União a ser comercializada pela PPSA. </w:t>
      </w:r>
    </w:p>
    <w:p w14:paraId="6CF67D5A" w14:textId="77777777" w:rsidR="007C32C7" w:rsidRDefault="007C32C7" w:rsidP="00722DDC">
      <w:pPr>
        <w:pStyle w:val="Default"/>
        <w:jc w:val="both"/>
        <w:rPr>
          <w:rFonts w:asciiTheme="minorHAnsi" w:hAnsiTheme="minorHAnsi" w:cstheme="minorHAnsi"/>
          <w:sz w:val="22"/>
          <w:szCs w:val="22"/>
        </w:rPr>
      </w:pPr>
    </w:p>
    <w:p w14:paraId="408FDED3" w14:textId="13B2B75B" w:rsidR="0036307B" w:rsidRPr="00722DDC" w:rsidRDefault="0036307B" w:rsidP="00722DDC">
      <w:pPr>
        <w:pStyle w:val="Default"/>
        <w:jc w:val="both"/>
        <w:rPr>
          <w:rFonts w:asciiTheme="minorHAnsi" w:hAnsiTheme="minorHAnsi" w:cstheme="minorHAnsi"/>
          <w:color w:val="008192"/>
          <w:sz w:val="22"/>
          <w:szCs w:val="22"/>
        </w:rPr>
      </w:pPr>
      <w:r w:rsidRPr="00722DDC">
        <w:rPr>
          <w:rFonts w:asciiTheme="minorHAnsi" w:hAnsiTheme="minorHAnsi" w:cstheme="minorHAnsi"/>
          <w:sz w:val="22"/>
          <w:szCs w:val="22"/>
        </w:rPr>
        <w:t>Com a produção esperada para os 17 contratos, há indicativos de que teremos cerca de 1,2 milhão de barris de petróleo por dia de propriedade da União para comercializar em 2032, quando a atividade alcançará seu pico.</w:t>
      </w:r>
      <w:r w:rsidR="007C32C7">
        <w:rPr>
          <w:rFonts w:asciiTheme="minorHAnsi" w:hAnsiTheme="minorHAnsi" w:cstheme="minorHAnsi"/>
          <w:sz w:val="22"/>
          <w:szCs w:val="22"/>
        </w:rPr>
        <w:t xml:space="preserve"> </w:t>
      </w:r>
      <w:r w:rsidRPr="00722DDC">
        <w:rPr>
          <w:rFonts w:asciiTheme="minorHAnsi" w:hAnsiTheme="minorHAnsi" w:cstheme="minorHAnsi"/>
          <w:sz w:val="22"/>
          <w:szCs w:val="22"/>
        </w:rPr>
        <w:t>Seguimos cada vez mais motivados a continuar cumprindo nossa missão com êxito, maximizando, ano após ano, os resultados econômicos para a União em suas atividades no regime de partilha de produção.</w:t>
      </w:r>
    </w:p>
    <w:p w14:paraId="4412E66F" w14:textId="77777777" w:rsidR="004B2817" w:rsidRPr="00722DDC" w:rsidRDefault="004B2817" w:rsidP="00722DDC">
      <w:pPr>
        <w:spacing w:after="300"/>
        <w:jc w:val="both"/>
        <w:rPr>
          <w:rFonts w:eastAsia="Times New Roman" w:cstheme="minorHAnsi"/>
          <w:color w:val="000000" w:themeColor="text1"/>
        </w:rPr>
      </w:pPr>
    </w:p>
    <w:p w14:paraId="661761C3" w14:textId="77777777" w:rsidR="00386495" w:rsidRDefault="00433E51" w:rsidP="00722DDC">
      <w:pPr>
        <w:spacing w:after="300"/>
        <w:jc w:val="both"/>
        <w:rPr>
          <w:rFonts w:eastAsia="Times New Roman" w:cstheme="minorHAnsi"/>
          <w:color w:val="000000" w:themeColor="text1"/>
        </w:rPr>
      </w:pPr>
      <w:r w:rsidRPr="00722DDC">
        <w:rPr>
          <w:rFonts w:eastAsia="Times New Roman" w:cstheme="minorHAnsi"/>
          <w:color w:val="000000" w:themeColor="text1"/>
        </w:rPr>
        <w:t xml:space="preserve">Eduardo </w:t>
      </w:r>
      <w:proofErr w:type="spellStart"/>
      <w:r w:rsidRPr="00722DDC">
        <w:rPr>
          <w:rFonts w:eastAsia="Times New Roman" w:cstheme="minorHAnsi"/>
          <w:color w:val="000000" w:themeColor="text1"/>
        </w:rPr>
        <w:t>Gerk</w:t>
      </w:r>
      <w:proofErr w:type="spellEnd"/>
    </w:p>
    <w:p w14:paraId="4BDEA187" w14:textId="2789A1F8" w:rsidR="00433E51" w:rsidRPr="00722DDC" w:rsidRDefault="00127FE8" w:rsidP="00722DDC">
      <w:pPr>
        <w:spacing w:after="300"/>
        <w:jc w:val="both"/>
        <w:rPr>
          <w:rFonts w:eastAsia="Times New Roman" w:cstheme="minorHAnsi"/>
          <w:color w:val="000000" w:themeColor="text1"/>
        </w:rPr>
      </w:pPr>
      <w:r w:rsidRPr="00722DDC">
        <w:rPr>
          <w:rFonts w:eastAsia="Times New Roman" w:cstheme="minorHAnsi"/>
          <w:color w:val="000000" w:themeColor="text1"/>
        </w:rPr>
        <w:t>Diretor-p</w:t>
      </w:r>
      <w:r w:rsidR="00433E51" w:rsidRPr="00722DDC">
        <w:rPr>
          <w:rFonts w:eastAsia="Times New Roman" w:cstheme="minorHAnsi"/>
          <w:color w:val="000000" w:themeColor="text1"/>
        </w:rPr>
        <w:t xml:space="preserve">residente da </w:t>
      </w:r>
      <w:proofErr w:type="spellStart"/>
      <w:r w:rsidR="00433E51" w:rsidRPr="00722DDC">
        <w:rPr>
          <w:rFonts w:eastAsia="Times New Roman" w:cstheme="minorHAnsi"/>
          <w:color w:val="000000" w:themeColor="text1"/>
        </w:rPr>
        <w:t>Pré</w:t>
      </w:r>
      <w:proofErr w:type="spellEnd"/>
      <w:r w:rsidR="00433E51" w:rsidRPr="00722DDC">
        <w:rPr>
          <w:rFonts w:eastAsia="Times New Roman" w:cstheme="minorHAnsi"/>
          <w:color w:val="000000" w:themeColor="text1"/>
        </w:rPr>
        <w:t>-Sal Petróleo</w:t>
      </w:r>
    </w:p>
    <w:p w14:paraId="53465C6A" w14:textId="77777777" w:rsidR="004B2817" w:rsidRPr="00722DDC" w:rsidRDefault="004B2817" w:rsidP="00722DDC">
      <w:pPr>
        <w:pStyle w:val="Default"/>
        <w:jc w:val="both"/>
        <w:rPr>
          <w:rFonts w:asciiTheme="minorHAnsi" w:hAnsiTheme="minorHAnsi" w:cstheme="minorHAnsi"/>
          <w:b/>
          <w:bCs/>
          <w:color w:val="008192"/>
          <w:sz w:val="22"/>
          <w:szCs w:val="22"/>
        </w:rPr>
      </w:pPr>
    </w:p>
    <w:p w14:paraId="335FD031" w14:textId="77777777" w:rsidR="004B2817" w:rsidRPr="00722DDC" w:rsidRDefault="004B2817" w:rsidP="00722DDC">
      <w:pPr>
        <w:pStyle w:val="Default"/>
        <w:jc w:val="both"/>
        <w:rPr>
          <w:rFonts w:asciiTheme="minorHAnsi" w:hAnsiTheme="minorHAnsi" w:cstheme="minorHAnsi"/>
          <w:b/>
          <w:bCs/>
          <w:color w:val="008192"/>
          <w:sz w:val="22"/>
          <w:szCs w:val="22"/>
        </w:rPr>
      </w:pPr>
    </w:p>
    <w:p w14:paraId="31079F38" w14:textId="77777777" w:rsidR="004B2817" w:rsidRPr="00722DDC" w:rsidRDefault="004B2817" w:rsidP="00722DDC">
      <w:pPr>
        <w:pStyle w:val="Default"/>
        <w:jc w:val="both"/>
        <w:rPr>
          <w:rFonts w:asciiTheme="minorHAnsi" w:hAnsiTheme="minorHAnsi" w:cstheme="minorHAnsi"/>
          <w:b/>
          <w:bCs/>
          <w:color w:val="008192"/>
          <w:sz w:val="22"/>
          <w:szCs w:val="22"/>
        </w:rPr>
      </w:pPr>
    </w:p>
    <w:p w14:paraId="1FA74A1C" w14:textId="0C740349" w:rsidR="00A758BB" w:rsidRPr="00722DDC" w:rsidRDefault="00433E51"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lastRenderedPageBreak/>
        <w:t xml:space="preserve">Identificação geral da </w:t>
      </w:r>
      <w:proofErr w:type="spellStart"/>
      <w:r w:rsidRPr="00722DDC">
        <w:rPr>
          <w:rFonts w:asciiTheme="minorHAnsi" w:hAnsiTheme="minorHAnsi" w:cstheme="minorHAnsi"/>
          <w:b/>
          <w:bCs/>
          <w:color w:val="008192"/>
          <w:sz w:val="22"/>
          <w:szCs w:val="22"/>
        </w:rPr>
        <w:t>Pré</w:t>
      </w:r>
      <w:proofErr w:type="spellEnd"/>
      <w:r w:rsidRPr="00722DDC">
        <w:rPr>
          <w:rFonts w:asciiTheme="minorHAnsi" w:hAnsiTheme="minorHAnsi" w:cstheme="minorHAnsi"/>
          <w:b/>
          <w:bCs/>
          <w:color w:val="008192"/>
          <w:sz w:val="22"/>
          <w:szCs w:val="22"/>
        </w:rPr>
        <w:t>-Sal Petróleo</w:t>
      </w:r>
    </w:p>
    <w:p w14:paraId="134FAE16" w14:textId="5C39160B" w:rsidR="00433E51" w:rsidRPr="00722DDC" w:rsidRDefault="00433E51" w:rsidP="00722DDC">
      <w:pPr>
        <w:pStyle w:val="Default"/>
        <w:jc w:val="both"/>
        <w:rPr>
          <w:rFonts w:asciiTheme="minorHAnsi" w:hAnsiTheme="minorHAnsi" w:cstheme="minorHAnsi"/>
          <w:sz w:val="22"/>
          <w:szCs w:val="22"/>
        </w:rPr>
      </w:pPr>
    </w:p>
    <w:p w14:paraId="40243315" w14:textId="7B6E9283"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Em conformidade com o Art. 8º, incisos I e VIII, da Lei 13.303, </w:t>
      </w:r>
      <w:r w:rsidRPr="00775882">
        <w:rPr>
          <w:rFonts w:asciiTheme="minorHAnsi" w:hAnsiTheme="minorHAnsi" w:cstheme="minorHAnsi"/>
          <w:color w:val="171717" w:themeColor="background2" w:themeShade="1A"/>
          <w:sz w:val="22"/>
          <w:szCs w:val="22"/>
        </w:rPr>
        <w:t xml:space="preserve">de 30 de junho de 2016, o Conselho de Administração subscreve a </w:t>
      </w:r>
      <w:r w:rsidRPr="009C262E">
        <w:rPr>
          <w:rFonts w:asciiTheme="minorHAnsi" w:hAnsiTheme="minorHAnsi" w:cstheme="minorHAnsi"/>
          <w:color w:val="171717" w:themeColor="background2" w:themeShade="1A"/>
          <w:sz w:val="22"/>
          <w:szCs w:val="22"/>
        </w:rPr>
        <w:t>presente Carta Anual sobre Políticas Públicas e Governança</w:t>
      </w:r>
      <w:r w:rsidRPr="00722DDC">
        <w:rPr>
          <w:rFonts w:asciiTheme="minorHAnsi" w:hAnsiTheme="minorHAnsi" w:cstheme="minorHAnsi"/>
          <w:color w:val="171717" w:themeColor="background2" w:themeShade="1A"/>
          <w:sz w:val="22"/>
          <w:szCs w:val="22"/>
        </w:rPr>
        <w:t xml:space="preserve"> Corporativa referente ao exercício social de 2019.</w:t>
      </w:r>
    </w:p>
    <w:p w14:paraId="47C872FD" w14:textId="77777777"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p>
    <w:p w14:paraId="6FF01CE3" w14:textId="1BDD6E97"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Empresa Brasileira de Administração de Petróleo e Gás Natural </w:t>
      </w:r>
      <w:r w:rsidR="007C32C7">
        <w:rPr>
          <w:rFonts w:asciiTheme="minorHAnsi" w:hAnsiTheme="minorHAnsi" w:cstheme="minorHAnsi"/>
          <w:color w:val="171717" w:themeColor="background2" w:themeShade="1A"/>
          <w:sz w:val="22"/>
          <w:szCs w:val="22"/>
        </w:rPr>
        <w:t>S</w:t>
      </w:r>
      <w:r w:rsidRPr="00722DDC">
        <w:rPr>
          <w:rFonts w:asciiTheme="minorHAnsi" w:hAnsiTheme="minorHAnsi" w:cstheme="minorHAnsi"/>
          <w:color w:val="171717" w:themeColor="background2" w:themeShade="1A"/>
          <w:sz w:val="22"/>
          <w:szCs w:val="22"/>
        </w:rPr>
        <w:t>.</w:t>
      </w:r>
      <w:r w:rsidR="007C32C7">
        <w:rPr>
          <w:rFonts w:asciiTheme="minorHAnsi" w:hAnsiTheme="minorHAnsi" w:cstheme="minorHAnsi"/>
          <w:color w:val="171717" w:themeColor="background2" w:themeShade="1A"/>
          <w:sz w:val="22"/>
          <w:szCs w:val="22"/>
        </w:rPr>
        <w:t>A</w:t>
      </w:r>
      <w:r w:rsidRPr="00722DDC">
        <w:rPr>
          <w:rFonts w:asciiTheme="minorHAnsi" w:hAnsiTheme="minorHAnsi" w:cstheme="minorHAnsi"/>
          <w:color w:val="171717" w:themeColor="background2" w:themeShade="1A"/>
          <w:sz w:val="22"/>
          <w:szCs w:val="22"/>
        </w:rPr>
        <w:t xml:space="preserve">. </w:t>
      </w:r>
      <w:r w:rsidR="007C32C7">
        <w:rPr>
          <w:rFonts w:asciiTheme="minorHAnsi" w:hAnsiTheme="minorHAnsi" w:cstheme="minorHAnsi"/>
          <w:color w:val="171717" w:themeColor="background2" w:themeShade="1A"/>
          <w:sz w:val="22"/>
          <w:szCs w:val="22"/>
        </w:rPr>
        <w:t>(</w:t>
      </w:r>
      <w:proofErr w:type="spellStart"/>
      <w:r w:rsidRPr="00722DDC">
        <w:rPr>
          <w:rFonts w:asciiTheme="minorHAnsi" w:hAnsiTheme="minorHAnsi" w:cstheme="minorHAnsi"/>
          <w:color w:val="171717" w:themeColor="background2" w:themeShade="1A"/>
          <w:sz w:val="22"/>
          <w:szCs w:val="22"/>
        </w:rPr>
        <w:t>Pré</w:t>
      </w:r>
      <w:proofErr w:type="spellEnd"/>
      <w:r w:rsidRPr="00722DDC">
        <w:rPr>
          <w:rFonts w:asciiTheme="minorHAnsi" w:hAnsiTheme="minorHAnsi" w:cstheme="minorHAnsi"/>
          <w:color w:val="171717" w:themeColor="background2" w:themeShade="1A"/>
          <w:sz w:val="22"/>
          <w:szCs w:val="22"/>
        </w:rPr>
        <w:t xml:space="preserve">-Sal Petróleo </w:t>
      </w:r>
      <w:r w:rsidR="007C32C7">
        <w:rPr>
          <w:rFonts w:asciiTheme="minorHAnsi" w:hAnsiTheme="minorHAnsi" w:cstheme="minorHAnsi"/>
          <w:color w:val="171717" w:themeColor="background2" w:themeShade="1A"/>
          <w:sz w:val="22"/>
          <w:szCs w:val="22"/>
        </w:rPr>
        <w:t>S</w:t>
      </w:r>
      <w:r w:rsidRPr="00722DDC">
        <w:rPr>
          <w:rFonts w:asciiTheme="minorHAnsi" w:hAnsiTheme="minorHAnsi" w:cstheme="minorHAnsi"/>
          <w:color w:val="171717" w:themeColor="background2" w:themeShade="1A"/>
          <w:sz w:val="22"/>
          <w:szCs w:val="22"/>
        </w:rPr>
        <w:t>.</w:t>
      </w:r>
      <w:r w:rsidR="007C32C7">
        <w:rPr>
          <w:rFonts w:asciiTheme="minorHAnsi" w:hAnsiTheme="minorHAnsi" w:cstheme="minorHAnsi"/>
          <w:color w:val="171717" w:themeColor="background2" w:themeShade="1A"/>
          <w:sz w:val="22"/>
          <w:szCs w:val="22"/>
        </w:rPr>
        <w:t>A</w:t>
      </w:r>
      <w:r w:rsidRPr="00722DDC">
        <w:rPr>
          <w:rFonts w:asciiTheme="minorHAnsi" w:hAnsiTheme="minorHAnsi" w:cstheme="minorHAnsi"/>
          <w:color w:val="171717" w:themeColor="background2" w:themeShade="1A"/>
          <w:sz w:val="22"/>
          <w:szCs w:val="22"/>
        </w:rPr>
        <w:t>. – PPSA</w:t>
      </w:r>
      <w:r w:rsidR="007C32C7">
        <w:rPr>
          <w:rFonts w:asciiTheme="minorHAnsi" w:hAnsiTheme="minorHAnsi" w:cstheme="minorHAnsi"/>
          <w:color w:val="171717" w:themeColor="background2" w:themeShade="1A"/>
          <w:sz w:val="22"/>
          <w:szCs w:val="22"/>
        </w:rPr>
        <w:t>)</w:t>
      </w:r>
    </w:p>
    <w:p w14:paraId="58BB0851" w14:textId="77777777"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p>
    <w:p w14:paraId="69912D85" w14:textId="0910ACA7"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CNPJ: 18.738.727/0001-36</w:t>
      </w:r>
      <w:r w:rsidR="007C32C7">
        <w:rPr>
          <w:rFonts w:asciiTheme="minorHAnsi" w:hAnsiTheme="minorHAnsi" w:cstheme="minorHAnsi"/>
          <w:color w:val="171717" w:themeColor="background2" w:themeShade="1A"/>
          <w:sz w:val="22"/>
          <w:szCs w:val="22"/>
        </w:rPr>
        <w:t>.</w:t>
      </w:r>
      <w:r w:rsidRPr="00722DDC">
        <w:rPr>
          <w:rFonts w:asciiTheme="minorHAnsi" w:hAnsiTheme="minorHAnsi" w:cstheme="minorHAnsi"/>
          <w:color w:val="171717" w:themeColor="background2" w:themeShade="1A"/>
          <w:sz w:val="22"/>
          <w:szCs w:val="22"/>
        </w:rPr>
        <w:t xml:space="preserve"> </w:t>
      </w:r>
    </w:p>
    <w:p w14:paraId="150F9118" w14:textId="5FBC49A0"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NIRE:  53 5 0000531-5</w:t>
      </w:r>
      <w:r w:rsidR="007C32C7">
        <w:rPr>
          <w:rFonts w:asciiTheme="minorHAnsi" w:hAnsiTheme="minorHAnsi" w:cstheme="minorHAnsi"/>
          <w:color w:val="171717" w:themeColor="background2" w:themeShade="1A"/>
          <w:sz w:val="22"/>
          <w:szCs w:val="22"/>
        </w:rPr>
        <w:t>.</w:t>
      </w:r>
    </w:p>
    <w:p w14:paraId="24A15CFE" w14:textId="5561597D" w:rsidR="00606756" w:rsidRPr="006623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Sede: Brasília</w:t>
      </w:r>
      <w:r w:rsidR="007C32C7" w:rsidRPr="00775882">
        <w:rPr>
          <w:rFonts w:asciiTheme="minorHAnsi" w:hAnsiTheme="minorHAnsi" w:cstheme="minorHAnsi"/>
          <w:color w:val="171717" w:themeColor="background2" w:themeShade="1A"/>
          <w:sz w:val="22"/>
          <w:szCs w:val="22"/>
        </w:rPr>
        <w:t>.</w:t>
      </w:r>
      <w:r w:rsidRPr="00775882">
        <w:rPr>
          <w:rFonts w:asciiTheme="minorHAnsi" w:hAnsiTheme="minorHAnsi" w:cstheme="minorHAnsi"/>
          <w:color w:val="171717" w:themeColor="background2" w:themeShade="1A"/>
          <w:sz w:val="22"/>
          <w:szCs w:val="22"/>
        </w:rPr>
        <w:t xml:space="preserve"> </w:t>
      </w:r>
    </w:p>
    <w:p w14:paraId="5D793F56" w14:textId="18E869BB" w:rsidR="00606756" w:rsidRPr="00C00AE5"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9C262E">
        <w:rPr>
          <w:rFonts w:asciiTheme="minorHAnsi" w:hAnsiTheme="minorHAnsi" w:cstheme="minorHAnsi"/>
          <w:color w:val="171717" w:themeColor="background2" w:themeShade="1A"/>
          <w:sz w:val="22"/>
          <w:szCs w:val="22"/>
        </w:rPr>
        <w:t xml:space="preserve">Escritório </w:t>
      </w:r>
      <w:r w:rsidR="00775882" w:rsidRPr="009C262E">
        <w:rPr>
          <w:rFonts w:asciiTheme="minorHAnsi" w:hAnsiTheme="minorHAnsi" w:cstheme="minorHAnsi"/>
          <w:color w:val="171717" w:themeColor="background2" w:themeShade="1A"/>
          <w:sz w:val="22"/>
          <w:szCs w:val="22"/>
        </w:rPr>
        <w:t>c</w:t>
      </w:r>
      <w:r w:rsidRPr="00C00AE5">
        <w:rPr>
          <w:rFonts w:asciiTheme="minorHAnsi" w:hAnsiTheme="minorHAnsi" w:cstheme="minorHAnsi"/>
          <w:color w:val="171717" w:themeColor="background2" w:themeShade="1A"/>
          <w:sz w:val="22"/>
          <w:szCs w:val="22"/>
        </w:rPr>
        <w:t>entral: Rio de Janeiro, onde estão as operações da empresa</w:t>
      </w:r>
      <w:r w:rsidR="007C32C7" w:rsidRPr="00C00AE5">
        <w:rPr>
          <w:rFonts w:asciiTheme="minorHAnsi" w:hAnsiTheme="minorHAnsi" w:cstheme="minorHAnsi"/>
          <w:color w:val="171717" w:themeColor="background2" w:themeShade="1A"/>
          <w:sz w:val="22"/>
          <w:szCs w:val="22"/>
        </w:rPr>
        <w:t>.</w:t>
      </w:r>
      <w:r w:rsidRPr="00C00AE5">
        <w:rPr>
          <w:rFonts w:asciiTheme="minorHAnsi" w:hAnsiTheme="minorHAnsi" w:cstheme="minorHAnsi"/>
          <w:color w:val="171717" w:themeColor="background2" w:themeShade="1A"/>
          <w:sz w:val="22"/>
          <w:szCs w:val="22"/>
        </w:rPr>
        <w:t xml:space="preserve"> </w:t>
      </w:r>
    </w:p>
    <w:p w14:paraId="0F7FA687" w14:textId="7EC1FACC" w:rsidR="00606756" w:rsidRPr="00C00AE5"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C00AE5">
        <w:rPr>
          <w:rFonts w:asciiTheme="minorHAnsi" w:hAnsiTheme="minorHAnsi" w:cstheme="minorHAnsi"/>
          <w:color w:val="171717" w:themeColor="background2" w:themeShade="1A"/>
          <w:sz w:val="22"/>
          <w:szCs w:val="22"/>
        </w:rPr>
        <w:t xml:space="preserve">Tipo societário: </w:t>
      </w:r>
      <w:r w:rsidR="00775882" w:rsidRPr="00C00AE5">
        <w:rPr>
          <w:rFonts w:asciiTheme="minorHAnsi" w:hAnsiTheme="minorHAnsi" w:cstheme="minorHAnsi"/>
          <w:color w:val="171717" w:themeColor="background2" w:themeShade="1A"/>
          <w:sz w:val="22"/>
          <w:szCs w:val="22"/>
        </w:rPr>
        <w:t>s</w:t>
      </w:r>
      <w:r w:rsidRPr="00C00AE5">
        <w:rPr>
          <w:rFonts w:asciiTheme="minorHAnsi" w:hAnsiTheme="minorHAnsi" w:cstheme="minorHAnsi"/>
          <w:color w:val="171717" w:themeColor="background2" w:themeShade="1A"/>
          <w:sz w:val="22"/>
          <w:szCs w:val="22"/>
        </w:rPr>
        <w:t xml:space="preserve">ociedade </w:t>
      </w:r>
      <w:r w:rsidR="00775882" w:rsidRPr="00C00AE5">
        <w:rPr>
          <w:rFonts w:asciiTheme="minorHAnsi" w:hAnsiTheme="minorHAnsi" w:cstheme="minorHAnsi"/>
          <w:color w:val="171717" w:themeColor="background2" w:themeShade="1A"/>
          <w:sz w:val="22"/>
          <w:szCs w:val="22"/>
        </w:rPr>
        <w:t>a</w:t>
      </w:r>
      <w:r w:rsidRPr="00C00AE5">
        <w:rPr>
          <w:rFonts w:asciiTheme="minorHAnsi" w:hAnsiTheme="minorHAnsi" w:cstheme="minorHAnsi"/>
          <w:color w:val="171717" w:themeColor="background2" w:themeShade="1A"/>
          <w:sz w:val="22"/>
          <w:szCs w:val="22"/>
        </w:rPr>
        <w:t>nônima</w:t>
      </w:r>
      <w:r w:rsidR="007C32C7" w:rsidRPr="00C00AE5">
        <w:rPr>
          <w:rFonts w:asciiTheme="minorHAnsi" w:hAnsiTheme="minorHAnsi" w:cstheme="minorHAnsi"/>
          <w:color w:val="171717" w:themeColor="background2" w:themeShade="1A"/>
          <w:sz w:val="22"/>
          <w:szCs w:val="22"/>
        </w:rPr>
        <w:t>.</w:t>
      </w:r>
      <w:r w:rsidRPr="00C00AE5">
        <w:rPr>
          <w:rFonts w:asciiTheme="minorHAnsi" w:hAnsiTheme="minorHAnsi" w:cstheme="minorHAnsi"/>
          <w:color w:val="171717" w:themeColor="background2" w:themeShade="1A"/>
          <w:sz w:val="22"/>
          <w:szCs w:val="22"/>
        </w:rPr>
        <w:t xml:space="preserve">    </w:t>
      </w:r>
    </w:p>
    <w:p w14:paraId="2F244C2E" w14:textId="00A07D14" w:rsidR="00606756" w:rsidRPr="00C00AE5"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C00AE5">
        <w:rPr>
          <w:rFonts w:asciiTheme="minorHAnsi" w:hAnsiTheme="minorHAnsi" w:cstheme="minorHAnsi"/>
          <w:color w:val="171717" w:themeColor="background2" w:themeShade="1A"/>
          <w:sz w:val="22"/>
          <w:szCs w:val="22"/>
        </w:rPr>
        <w:t>Acionista controlador: União</w:t>
      </w:r>
      <w:r w:rsidR="007C32C7" w:rsidRPr="00C00AE5">
        <w:rPr>
          <w:rFonts w:asciiTheme="minorHAnsi" w:hAnsiTheme="minorHAnsi" w:cstheme="minorHAnsi"/>
          <w:color w:val="171717" w:themeColor="background2" w:themeShade="1A"/>
          <w:sz w:val="22"/>
          <w:szCs w:val="22"/>
        </w:rPr>
        <w:t>.</w:t>
      </w:r>
      <w:r w:rsidRPr="00C00AE5">
        <w:rPr>
          <w:rFonts w:asciiTheme="minorHAnsi" w:hAnsiTheme="minorHAnsi" w:cstheme="minorHAnsi"/>
          <w:color w:val="171717" w:themeColor="background2" w:themeShade="1A"/>
          <w:sz w:val="22"/>
          <w:szCs w:val="22"/>
        </w:rPr>
        <w:t xml:space="preserve"> </w:t>
      </w:r>
    </w:p>
    <w:p w14:paraId="19D1E7E6" w14:textId="72BF5C37" w:rsidR="00606756" w:rsidRPr="00C00AE5"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C00AE5">
        <w:rPr>
          <w:rFonts w:asciiTheme="minorHAnsi" w:hAnsiTheme="minorHAnsi" w:cstheme="minorHAnsi"/>
          <w:color w:val="171717" w:themeColor="background2" w:themeShade="1A"/>
          <w:sz w:val="22"/>
          <w:szCs w:val="22"/>
        </w:rPr>
        <w:t xml:space="preserve">Tipo de capital: </w:t>
      </w:r>
      <w:r w:rsidR="00775882" w:rsidRPr="00C00AE5">
        <w:rPr>
          <w:rFonts w:asciiTheme="minorHAnsi" w:hAnsiTheme="minorHAnsi" w:cstheme="minorHAnsi"/>
          <w:color w:val="171717" w:themeColor="background2" w:themeShade="1A"/>
          <w:sz w:val="22"/>
          <w:szCs w:val="22"/>
        </w:rPr>
        <w:t>f</w:t>
      </w:r>
      <w:r w:rsidRPr="00C00AE5">
        <w:rPr>
          <w:rFonts w:asciiTheme="minorHAnsi" w:hAnsiTheme="minorHAnsi" w:cstheme="minorHAnsi"/>
          <w:color w:val="171717" w:themeColor="background2" w:themeShade="1A"/>
          <w:sz w:val="22"/>
          <w:szCs w:val="22"/>
        </w:rPr>
        <w:t>echado</w:t>
      </w:r>
      <w:r w:rsidR="007C32C7" w:rsidRPr="00C00AE5">
        <w:rPr>
          <w:rFonts w:asciiTheme="minorHAnsi" w:hAnsiTheme="minorHAnsi" w:cstheme="minorHAnsi"/>
          <w:color w:val="171717" w:themeColor="background2" w:themeShade="1A"/>
          <w:sz w:val="22"/>
          <w:szCs w:val="22"/>
        </w:rPr>
        <w:t>.</w:t>
      </w:r>
      <w:r w:rsidRPr="00C00AE5">
        <w:rPr>
          <w:rFonts w:asciiTheme="minorHAnsi" w:hAnsiTheme="minorHAnsi" w:cstheme="minorHAnsi"/>
          <w:color w:val="171717" w:themeColor="background2" w:themeShade="1A"/>
          <w:sz w:val="22"/>
          <w:szCs w:val="22"/>
        </w:rPr>
        <w:t xml:space="preserve"> </w:t>
      </w:r>
    </w:p>
    <w:p w14:paraId="24BA2C70" w14:textId="6411A413" w:rsidR="00606756" w:rsidRPr="00C00AE5"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C00AE5">
        <w:rPr>
          <w:rFonts w:asciiTheme="minorHAnsi" w:hAnsiTheme="minorHAnsi" w:cstheme="minorHAnsi"/>
          <w:color w:val="171717" w:themeColor="background2" w:themeShade="1A"/>
          <w:sz w:val="22"/>
          <w:szCs w:val="22"/>
        </w:rPr>
        <w:t xml:space="preserve">Abrangência de atuação: </w:t>
      </w:r>
      <w:r w:rsidR="00775882" w:rsidRPr="00C00AE5">
        <w:rPr>
          <w:rFonts w:asciiTheme="minorHAnsi" w:hAnsiTheme="minorHAnsi" w:cstheme="minorHAnsi"/>
          <w:color w:val="171717" w:themeColor="background2" w:themeShade="1A"/>
          <w:sz w:val="22"/>
          <w:szCs w:val="22"/>
        </w:rPr>
        <w:t>n</w:t>
      </w:r>
      <w:r w:rsidRPr="00C00AE5">
        <w:rPr>
          <w:rFonts w:asciiTheme="minorHAnsi" w:hAnsiTheme="minorHAnsi" w:cstheme="minorHAnsi"/>
          <w:color w:val="171717" w:themeColor="background2" w:themeShade="1A"/>
          <w:sz w:val="22"/>
          <w:szCs w:val="22"/>
        </w:rPr>
        <w:t>o território nacional</w:t>
      </w:r>
      <w:r w:rsidR="007C32C7" w:rsidRPr="00C00AE5">
        <w:rPr>
          <w:rFonts w:asciiTheme="minorHAnsi" w:hAnsiTheme="minorHAnsi" w:cstheme="minorHAnsi"/>
          <w:color w:val="171717" w:themeColor="background2" w:themeShade="1A"/>
          <w:sz w:val="22"/>
          <w:szCs w:val="22"/>
        </w:rPr>
        <w:t>.</w:t>
      </w:r>
      <w:r w:rsidRPr="00C00AE5">
        <w:rPr>
          <w:rFonts w:asciiTheme="minorHAnsi" w:hAnsiTheme="minorHAnsi" w:cstheme="minorHAnsi"/>
          <w:color w:val="171717" w:themeColor="background2" w:themeShade="1A"/>
          <w:sz w:val="22"/>
          <w:szCs w:val="22"/>
        </w:rPr>
        <w:t xml:space="preserve"> </w:t>
      </w:r>
    </w:p>
    <w:p w14:paraId="15477BEA" w14:textId="12502507"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C00AE5">
        <w:rPr>
          <w:rFonts w:asciiTheme="minorHAnsi" w:hAnsiTheme="minorHAnsi" w:cstheme="minorHAnsi"/>
          <w:color w:val="171717" w:themeColor="background2" w:themeShade="1A"/>
          <w:sz w:val="22"/>
          <w:szCs w:val="22"/>
        </w:rPr>
        <w:t xml:space="preserve">Setor de atuação: </w:t>
      </w:r>
      <w:r w:rsidR="00775882" w:rsidRPr="00C00AE5">
        <w:rPr>
          <w:rFonts w:asciiTheme="minorHAnsi" w:hAnsiTheme="minorHAnsi" w:cstheme="minorHAnsi"/>
          <w:color w:val="171717" w:themeColor="background2" w:themeShade="1A"/>
          <w:sz w:val="22"/>
          <w:szCs w:val="22"/>
        </w:rPr>
        <w:t>p</w:t>
      </w:r>
      <w:r w:rsidRPr="00C00AE5">
        <w:rPr>
          <w:rFonts w:asciiTheme="minorHAnsi" w:hAnsiTheme="minorHAnsi" w:cstheme="minorHAnsi"/>
          <w:color w:val="171717" w:themeColor="background2" w:themeShade="1A"/>
          <w:sz w:val="22"/>
          <w:szCs w:val="22"/>
        </w:rPr>
        <w:t xml:space="preserve">etróleo e </w:t>
      </w:r>
      <w:r w:rsidR="00775882" w:rsidRPr="00C00AE5">
        <w:rPr>
          <w:rFonts w:asciiTheme="minorHAnsi" w:hAnsiTheme="minorHAnsi" w:cstheme="minorHAnsi"/>
          <w:color w:val="171717" w:themeColor="background2" w:themeShade="1A"/>
          <w:sz w:val="22"/>
          <w:szCs w:val="22"/>
        </w:rPr>
        <w:t>g</w:t>
      </w:r>
      <w:r w:rsidRPr="00C00AE5">
        <w:rPr>
          <w:rFonts w:asciiTheme="minorHAnsi" w:hAnsiTheme="minorHAnsi" w:cstheme="minorHAnsi"/>
          <w:color w:val="171717" w:themeColor="background2" w:themeShade="1A"/>
          <w:sz w:val="22"/>
          <w:szCs w:val="22"/>
        </w:rPr>
        <w:t>ás</w:t>
      </w:r>
      <w:r w:rsidR="007C32C7" w:rsidRPr="00C00AE5">
        <w:rPr>
          <w:rFonts w:asciiTheme="minorHAnsi" w:hAnsiTheme="minorHAnsi" w:cstheme="minorHAnsi"/>
          <w:color w:val="171717" w:themeColor="background2" w:themeShade="1A"/>
          <w:sz w:val="22"/>
          <w:szCs w:val="22"/>
        </w:rPr>
        <w:t>.</w:t>
      </w:r>
    </w:p>
    <w:p w14:paraId="7EBD03A7" w14:textId="77777777" w:rsidR="00D5093E" w:rsidRPr="00722DDC" w:rsidRDefault="00D5093E" w:rsidP="00722DDC">
      <w:pPr>
        <w:pStyle w:val="Default"/>
        <w:spacing w:line="276" w:lineRule="auto"/>
        <w:jc w:val="both"/>
        <w:rPr>
          <w:rFonts w:asciiTheme="minorHAnsi" w:hAnsiTheme="minorHAnsi" w:cstheme="minorHAnsi"/>
          <w:color w:val="171717" w:themeColor="background2" w:themeShade="1A"/>
          <w:sz w:val="22"/>
          <w:szCs w:val="22"/>
        </w:rPr>
      </w:pPr>
    </w:p>
    <w:p w14:paraId="51BF9662" w14:textId="13D05D26"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Diretor de Administração, Controle e Finanças: Samir Passos </w:t>
      </w:r>
      <w:proofErr w:type="spellStart"/>
      <w:r w:rsidRPr="00722DDC">
        <w:rPr>
          <w:rFonts w:asciiTheme="minorHAnsi" w:hAnsiTheme="minorHAnsi" w:cstheme="minorHAnsi"/>
          <w:color w:val="171717" w:themeColor="background2" w:themeShade="1A"/>
          <w:sz w:val="22"/>
          <w:szCs w:val="22"/>
        </w:rPr>
        <w:t>Awad</w:t>
      </w:r>
      <w:proofErr w:type="spellEnd"/>
      <w:r w:rsidR="00865BD2" w:rsidRPr="00722DDC">
        <w:rPr>
          <w:rFonts w:asciiTheme="minorHAnsi" w:hAnsiTheme="minorHAnsi" w:cstheme="minorHAnsi"/>
          <w:color w:val="171717" w:themeColor="background2" w:themeShade="1A"/>
          <w:sz w:val="22"/>
          <w:szCs w:val="22"/>
        </w:rPr>
        <w:t xml:space="preserve"> </w:t>
      </w:r>
      <w:r w:rsidR="007C32C7">
        <w:rPr>
          <w:rFonts w:asciiTheme="minorHAnsi" w:hAnsiTheme="minorHAnsi" w:cstheme="minorHAnsi"/>
          <w:color w:val="171717" w:themeColor="background2" w:themeShade="1A"/>
          <w:sz w:val="22"/>
          <w:szCs w:val="22"/>
        </w:rPr>
        <w:t>–</w:t>
      </w:r>
      <w:r w:rsidRPr="00722DDC">
        <w:rPr>
          <w:rFonts w:asciiTheme="minorHAnsi" w:hAnsiTheme="minorHAnsi" w:cstheme="minorHAnsi"/>
          <w:color w:val="171717" w:themeColor="background2" w:themeShade="1A"/>
          <w:sz w:val="22"/>
          <w:szCs w:val="22"/>
        </w:rPr>
        <w:t xml:space="preserve"> CPF:  </w:t>
      </w:r>
      <w:r w:rsidR="00865BD2" w:rsidRPr="00722DDC">
        <w:rPr>
          <w:rFonts w:asciiTheme="minorHAnsi" w:hAnsiTheme="minorHAnsi" w:cstheme="minorHAnsi"/>
          <w:color w:val="171717" w:themeColor="background2" w:themeShade="1A"/>
          <w:sz w:val="22"/>
          <w:szCs w:val="22"/>
        </w:rPr>
        <w:t>*****53.157**</w:t>
      </w:r>
    </w:p>
    <w:p w14:paraId="6513E1B1" w14:textId="77777777" w:rsidR="00D5093E" w:rsidRPr="00722DDC" w:rsidRDefault="00D5093E" w:rsidP="00722DDC">
      <w:pPr>
        <w:pStyle w:val="Default"/>
        <w:spacing w:line="276" w:lineRule="auto"/>
        <w:jc w:val="both"/>
        <w:rPr>
          <w:rFonts w:asciiTheme="minorHAnsi" w:hAnsiTheme="minorHAnsi" w:cstheme="minorHAnsi"/>
          <w:color w:val="171717" w:themeColor="background2" w:themeShade="1A"/>
          <w:sz w:val="22"/>
          <w:szCs w:val="22"/>
        </w:rPr>
      </w:pPr>
    </w:p>
    <w:p w14:paraId="16B33F4F" w14:textId="34420DB0"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Auditor independente da empresa: </w:t>
      </w:r>
    </w:p>
    <w:p w14:paraId="0A237785" w14:textId="77777777" w:rsidR="00D5093E" w:rsidRPr="00722DDC" w:rsidRDefault="00D5093E" w:rsidP="00722DDC">
      <w:pPr>
        <w:spacing w:after="0" w:line="240" w:lineRule="auto"/>
        <w:jc w:val="both"/>
        <w:textAlignment w:val="baseline"/>
        <w:rPr>
          <w:rFonts w:eastAsia="Times New Roman" w:cstheme="minorHAnsi"/>
          <w:color w:val="000000"/>
          <w:lang w:eastAsia="pt-BR"/>
        </w:rPr>
      </w:pPr>
      <w:r w:rsidRPr="00722DDC">
        <w:rPr>
          <w:rFonts w:eastAsia="Times New Roman" w:cstheme="minorHAnsi"/>
          <w:color w:val="000000"/>
          <w:bdr w:val="none" w:sz="0" w:space="0" w:color="auto" w:frame="1"/>
          <w:lang w:eastAsia="pt-BR"/>
        </w:rPr>
        <w:t>MCS Markup Auditores Independentes S/S </w:t>
      </w:r>
    </w:p>
    <w:p w14:paraId="0DACCCC3" w14:textId="77777777" w:rsidR="00D5093E" w:rsidRPr="00722DDC" w:rsidRDefault="00D5093E" w:rsidP="00722DDC">
      <w:pPr>
        <w:spacing w:after="0" w:line="240" w:lineRule="auto"/>
        <w:jc w:val="both"/>
        <w:textAlignment w:val="baseline"/>
        <w:rPr>
          <w:rFonts w:eastAsia="Times New Roman" w:cstheme="minorHAnsi"/>
          <w:color w:val="000000"/>
          <w:lang w:eastAsia="pt-BR"/>
        </w:rPr>
      </w:pPr>
      <w:r w:rsidRPr="00722DDC">
        <w:rPr>
          <w:rFonts w:eastAsia="Times New Roman" w:cstheme="minorHAnsi"/>
          <w:color w:val="000000"/>
          <w:bdr w:val="none" w:sz="0" w:space="0" w:color="auto" w:frame="1"/>
          <w:lang w:eastAsia="pt-BR"/>
        </w:rPr>
        <w:t>CRC RJ 006917/O-3 </w:t>
      </w:r>
    </w:p>
    <w:p w14:paraId="00B749FA" w14:textId="110ED257" w:rsidR="00775882" w:rsidRDefault="00775882" w:rsidP="00722DDC">
      <w:pPr>
        <w:spacing w:after="0" w:line="240" w:lineRule="auto"/>
        <w:jc w:val="both"/>
        <w:textAlignment w:val="baseline"/>
        <w:rPr>
          <w:rFonts w:eastAsia="Times New Roman" w:cstheme="minorHAnsi"/>
          <w:color w:val="000000"/>
          <w:lang w:eastAsia="pt-BR"/>
        </w:rPr>
      </w:pPr>
      <w:r>
        <w:rPr>
          <w:rFonts w:eastAsia="Times New Roman" w:cstheme="minorHAnsi"/>
          <w:color w:val="000000"/>
          <w:lang w:eastAsia="pt-BR"/>
        </w:rPr>
        <w:t>Romulo Carvalho Caputo</w:t>
      </w:r>
    </w:p>
    <w:p w14:paraId="00BB937B" w14:textId="00A80B48" w:rsidR="00775882" w:rsidRPr="00775882" w:rsidRDefault="00775882" w:rsidP="00722DDC">
      <w:pPr>
        <w:spacing w:after="0" w:line="240" w:lineRule="auto"/>
        <w:jc w:val="both"/>
        <w:textAlignment w:val="baseline"/>
        <w:rPr>
          <w:rFonts w:eastAsia="Times New Roman" w:cstheme="minorHAnsi"/>
          <w:color w:val="000000"/>
          <w:lang w:eastAsia="pt-BR"/>
        </w:rPr>
      </w:pPr>
      <w:r>
        <w:rPr>
          <w:rFonts w:eastAsia="Times New Roman" w:cstheme="minorHAnsi"/>
          <w:color w:val="000000"/>
          <w:lang w:eastAsia="pt-BR"/>
        </w:rPr>
        <w:t>Contador CRC 108.577</w:t>
      </w:r>
      <w:r w:rsidRPr="00C00AE5">
        <w:rPr>
          <w:rFonts w:eastAsia="Times New Roman" w:cstheme="minorHAnsi"/>
          <w:color w:val="000000"/>
          <w:lang w:eastAsia="pt-BR"/>
        </w:rPr>
        <w:t>/</w:t>
      </w:r>
      <w:r>
        <w:rPr>
          <w:rFonts w:eastAsia="Times New Roman" w:cstheme="minorHAnsi"/>
          <w:color w:val="000000"/>
          <w:lang w:eastAsia="pt-BR"/>
        </w:rPr>
        <w:t>0-4</w:t>
      </w:r>
    </w:p>
    <w:p w14:paraId="6492182C" w14:textId="32C312F8" w:rsidR="00D5093E" w:rsidRPr="00722DDC" w:rsidRDefault="00775882" w:rsidP="00722DDC">
      <w:pPr>
        <w:spacing w:after="0" w:line="240" w:lineRule="auto"/>
        <w:jc w:val="both"/>
        <w:textAlignment w:val="baseline"/>
        <w:rPr>
          <w:rFonts w:eastAsia="Times New Roman" w:cstheme="minorHAnsi"/>
          <w:color w:val="000000"/>
          <w:lang w:eastAsia="pt-BR"/>
        </w:rPr>
      </w:pPr>
      <w:r>
        <w:rPr>
          <w:rFonts w:eastAsia="Times New Roman" w:cstheme="minorHAnsi"/>
          <w:color w:val="000000"/>
          <w:lang w:eastAsia="pt-BR"/>
        </w:rPr>
        <w:t>r</w:t>
      </w:r>
      <w:r w:rsidR="00D5093E" w:rsidRPr="00722DDC">
        <w:rPr>
          <w:rFonts w:eastAsia="Times New Roman" w:cstheme="minorHAnsi"/>
          <w:color w:val="000000"/>
          <w:lang w:eastAsia="pt-BR"/>
        </w:rPr>
        <w:t>omulo.caputo@mcsmarkup.com.br</w:t>
      </w:r>
    </w:p>
    <w:p w14:paraId="53B63476" w14:textId="77777777" w:rsidR="00D5093E" w:rsidRPr="00722DDC" w:rsidRDefault="00D5093E" w:rsidP="00722DDC">
      <w:pPr>
        <w:spacing w:after="0" w:line="240" w:lineRule="auto"/>
        <w:jc w:val="both"/>
        <w:textAlignment w:val="baseline"/>
        <w:rPr>
          <w:rFonts w:eastAsia="Times New Roman" w:cstheme="minorHAnsi"/>
          <w:color w:val="000000"/>
          <w:lang w:eastAsia="pt-BR"/>
        </w:rPr>
      </w:pPr>
      <w:r w:rsidRPr="00722DDC">
        <w:rPr>
          <w:rFonts w:eastAsia="Times New Roman" w:cstheme="minorHAnsi"/>
          <w:color w:val="000000"/>
          <w:lang w:eastAsia="pt-BR"/>
        </w:rPr>
        <w:t>Tel.: (21) 2533-1122</w:t>
      </w:r>
    </w:p>
    <w:p w14:paraId="0A3C5FE0" w14:textId="77777777" w:rsidR="00865BD2" w:rsidRPr="00722DDC" w:rsidRDefault="00865BD2" w:rsidP="00722DDC">
      <w:pPr>
        <w:pStyle w:val="Default"/>
        <w:spacing w:line="276" w:lineRule="auto"/>
        <w:jc w:val="both"/>
        <w:rPr>
          <w:rFonts w:asciiTheme="minorHAnsi" w:hAnsiTheme="minorHAnsi" w:cstheme="minorHAnsi"/>
          <w:color w:val="171717" w:themeColor="background2" w:themeShade="1A"/>
          <w:sz w:val="22"/>
          <w:szCs w:val="22"/>
        </w:rPr>
      </w:pPr>
    </w:p>
    <w:p w14:paraId="449BBC46" w14:textId="09D5FE01" w:rsidR="00606756" w:rsidRPr="00722DDC"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Conselheiros de Administração subscritores da Carta Anual: </w:t>
      </w:r>
    </w:p>
    <w:p w14:paraId="56EF4A76" w14:textId="77777777" w:rsidR="00D5093E" w:rsidRPr="00722DDC" w:rsidRDefault="00D5093E" w:rsidP="00722DDC">
      <w:pPr>
        <w:pStyle w:val="Default"/>
        <w:spacing w:line="276" w:lineRule="auto"/>
        <w:jc w:val="both"/>
        <w:rPr>
          <w:rFonts w:asciiTheme="minorHAnsi" w:hAnsiTheme="minorHAnsi" w:cstheme="minorHAnsi"/>
          <w:color w:val="171717" w:themeColor="background2" w:themeShade="1A"/>
          <w:sz w:val="22"/>
          <w:szCs w:val="22"/>
        </w:rPr>
      </w:pPr>
    </w:p>
    <w:p w14:paraId="190505F2" w14:textId="3B923207" w:rsidR="00FA3FE0" w:rsidRPr="00775882" w:rsidRDefault="00FA3FE0" w:rsidP="00722DDC">
      <w:pPr>
        <w:pStyle w:val="Default"/>
        <w:spacing w:line="276" w:lineRule="auto"/>
        <w:jc w:val="both"/>
        <w:rPr>
          <w:rFonts w:asciiTheme="minorHAnsi" w:hAnsiTheme="minorHAnsi" w:cstheme="minorHAnsi"/>
          <w:color w:val="000000" w:themeColor="text1"/>
          <w:sz w:val="22"/>
          <w:szCs w:val="22"/>
        </w:rPr>
      </w:pPr>
      <w:r w:rsidRPr="00722DDC">
        <w:rPr>
          <w:rFonts w:asciiTheme="minorHAnsi" w:hAnsiTheme="minorHAnsi" w:cstheme="minorHAnsi"/>
          <w:color w:val="171717" w:themeColor="background2" w:themeShade="1A"/>
          <w:sz w:val="22"/>
          <w:szCs w:val="22"/>
        </w:rPr>
        <w:t xml:space="preserve">José Mauro Ferreira Coelho </w:t>
      </w:r>
      <w:r w:rsidRPr="00775882">
        <w:rPr>
          <w:rFonts w:asciiTheme="minorHAnsi" w:hAnsiTheme="minorHAnsi" w:cstheme="minorHAnsi"/>
          <w:color w:val="171717" w:themeColor="background2" w:themeShade="1A"/>
          <w:sz w:val="22"/>
          <w:szCs w:val="22"/>
        </w:rPr>
        <w:t xml:space="preserve">– </w:t>
      </w:r>
      <w:r w:rsidR="00775882" w:rsidRPr="00775882">
        <w:rPr>
          <w:rFonts w:asciiTheme="minorHAnsi" w:hAnsiTheme="minorHAnsi" w:cstheme="minorHAnsi"/>
          <w:color w:val="171717" w:themeColor="background2" w:themeShade="1A"/>
          <w:sz w:val="22"/>
          <w:szCs w:val="22"/>
        </w:rPr>
        <w:t>p</w:t>
      </w:r>
      <w:r w:rsidRPr="00775882">
        <w:rPr>
          <w:rFonts w:asciiTheme="minorHAnsi" w:hAnsiTheme="minorHAnsi" w:cstheme="minorHAnsi"/>
          <w:color w:val="171717" w:themeColor="background2" w:themeShade="1A"/>
          <w:sz w:val="22"/>
          <w:szCs w:val="22"/>
        </w:rPr>
        <w:t xml:space="preserve">residente do Conselho de Administração </w:t>
      </w:r>
      <w:r w:rsidR="007C380A" w:rsidRPr="00775882">
        <w:rPr>
          <w:rFonts w:asciiTheme="minorHAnsi" w:hAnsiTheme="minorHAnsi" w:cstheme="minorHAnsi"/>
          <w:color w:val="171717" w:themeColor="background2" w:themeShade="1A"/>
          <w:sz w:val="22"/>
          <w:szCs w:val="22"/>
        </w:rPr>
        <w:t>–</w:t>
      </w:r>
      <w:r w:rsidRPr="00775882">
        <w:rPr>
          <w:rFonts w:asciiTheme="minorHAnsi" w:hAnsiTheme="minorHAnsi" w:cstheme="minorHAnsi"/>
          <w:color w:val="171717" w:themeColor="background2" w:themeShade="1A"/>
          <w:sz w:val="22"/>
          <w:szCs w:val="22"/>
        </w:rPr>
        <w:t xml:space="preserve"> CPF</w:t>
      </w:r>
      <w:r w:rsidR="007C380A" w:rsidRPr="00775882">
        <w:rPr>
          <w:rFonts w:asciiTheme="minorHAnsi" w:hAnsiTheme="minorHAnsi" w:cstheme="minorHAnsi"/>
          <w:color w:val="171717" w:themeColor="background2" w:themeShade="1A"/>
          <w:sz w:val="22"/>
          <w:szCs w:val="22"/>
        </w:rPr>
        <w:t xml:space="preserve"> </w:t>
      </w:r>
      <w:r w:rsidR="007C380A" w:rsidRPr="00775882">
        <w:rPr>
          <w:rFonts w:asciiTheme="minorHAnsi" w:hAnsiTheme="minorHAnsi" w:cstheme="minorHAnsi"/>
          <w:color w:val="000000" w:themeColor="text1"/>
          <w:sz w:val="22"/>
          <w:szCs w:val="22"/>
        </w:rPr>
        <w:t xml:space="preserve">- </w:t>
      </w:r>
      <w:r w:rsidR="007C380A" w:rsidRPr="00775882">
        <w:rPr>
          <w:rFonts w:asciiTheme="minorHAnsi" w:hAnsiTheme="minorHAnsi" w:cstheme="minorHAnsi"/>
          <w:color w:val="000000" w:themeColor="text1"/>
          <w:sz w:val="22"/>
          <w:szCs w:val="22"/>
          <w:shd w:val="clear" w:color="auto" w:fill="FFFFFF"/>
        </w:rPr>
        <w:t>****79.667**</w:t>
      </w:r>
    </w:p>
    <w:p w14:paraId="784CA21C" w14:textId="62226E37" w:rsidR="00FA3FE0" w:rsidRPr="00775882" w:rsidRDefault="00FA3FE0" w:rsidP="00722DDC">
      <w:pPr>
        <w:pStyle w:val="Default"/>
        <w:spacing w:line="276" w:lineRule="auto"/>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Natasha Torres Gil Nunes – CPF</w:t>
      </w:r>
      <w:r w:rsidR="00FC3497" w:rsidRPr="00775882">
        <w:rPr>
          <w:rFonts w:asciiTheme="minorHAnsi" w:hAnsiTheme="minorHAnsi" w:cstheme="minorHAnsi"/>
          <w:color w:val="171717" w:themeColor="background2" w:themeShade="1A"/>
          <w:sz w:val="22"/>
          <w:szCs w:val="22"/>
        </w:rPr>
        <w:t xml:space="preserve"> - ****</w:t>
      </w:r>
      <w:r w:rsidR="00FC3497" w:rsidRPr="00775882">
        <w:rPr>
          <w:rFonts w:asciiTheme="minorHAnsi" w:hAnsiTheme="minorHAnsi" w:cstheme="minorHAnsi"/>
          <w:sz w:val="22"/>
          <w:szCs w:val="22"/>
          <w:bdr w:val="none" w:sz="0" w:space="0" w:color="auto" w:frame="1"/>
        </w:rPr>
        <w:t>01.516**</w:t>
      </w:r>
    </w:p>
    <w:p w14:paraId="009E768A" w14:textId="72960B5C" w:rsidR="00865BD2" w:rsidRPr="00775882" w:rsidRDefault="00865BD2" w:rsidP="00722DDC">
      <w:pPr>
        <w:pStyle w:val="Default"/>
        <w:spacing w:line="276" w:lineRule="auto"/>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 xml:space="preserve">José Eduardo Vinhaes </w:t>
      </w:r>
      <w:proofErr w:type="spellStart"/>
      <w:r w:rsidRPr="00775882">
        <w:rPr>
          <w:rFonts w:asciiTheme="minorHAnsi" w:hAnsiTheme="minorHAnsi" w:cstheme="minorHAnsi"/>
          <w:color w:val="171717" w:themeColor="background2" w:themeShade="1A"/>
          <w:sz w:val="22"/>
          <w:szCs w:val="22"/>
        </w:rPr>
        <w:t>Gerk</w:t>
      </w:r>
      <w:proofErr w:type="spellEnd"/>
      <w:r w:rsidRPr="00775882">
        <w:rPr>
          <w:rFonts w:asciiTheme="minorHAnsi" w:hAnsiTheme="minorHAnsi" w:cstheme="minorHAnsi"/>
          <w:color w:val="171717" w:themeColor="background2" w:themeShade="1A"/>
          <w:sz w:val="22"/>
          <w:szCs w:val="22"/>
        </w:rPr>
        <w:t xml:space="preserve"> – </w:t>
      </w:r>
      <w:r w:rsidR="00775882" w:rsidRPr="00775882">
        <w:rPr>
          <w:rFonts w:asciiTheme="minorHAnsi" w:hAnsiTheme="minorHAnsi" w:cstheme="minorHAnsi"/>
          <w:color w:val="171717" w:themeColor="background2" w:themeShade="1A"/>
          <w:sz w:val="22"/>
          <w:szCs w:val="22"/>
        </w:rPr>
        <w:t>d</w:t>
      </w:r>
      <w:r w:rsidRPr="00775882">
        <w:rPr>
          <w:rFonts w:asciiTheme="minorHAnsi" w:hAnsiTheme="minorHAnsi" w:cstheme="minorHAnsi"/>
          <w:color w:val="171717" w:themeColor="background2" w:themeShade="1A"/>
          <w:sz w:val="22"/>
          <w:szCs w:val="22"/>
        </w:rPr>
        <w:t>iretor-</w:t>
      </w:r>
      <w:r w:rsidR="00775882" w:rsidRPr="00775882">
        <w:rPr>
          <w:rFonts w:asciiTheme="minorHAnsi" w:hAnsiTheme="minorHAnsi" w:cstheme="minorHAnsi"/>
          <w:color w:val="171717" w:themeColor="background2" w:themeShade="1A"/>
          <w:sz w:val="22"/>
          <w:szCs w:val="22"/>
        </w:rPr>
        <w:t>p</w:t>
      </w:r>
      <w:r w:rsidRPr="00775882">
        <w:rPr>
          <w:rFonts w:asciiTheme="minorHAnsi" w:hAnsiTheme="minorHAnsi" w:cstheme="minorHAnsi"/>
          <w:color w:val="171717" w:themeColor="background2" w:themeShade="1A"/>
          <w:sz w:val="22"/>
          <w:szCs w:val="22"/>
        </w:rPr>
        <w:t xml:space="preserve">residente da </w:t>
      </w:r>
      <w:proofErr w:type="spellStart"/>
      <w:r w:rsidRPr="00775882">
        <w:rPr>
          <w:rFonts w:asciiTheme="minorHAnsi" w:hAnsiTheme="minorHAnsi" w:cstheme="minorHAnsi"/>
          <w:color w:val="171717" w:themeColor="background2" w:themeShade="1A"/>
          <w:sz w:val="22"/>
          <w:szCs w:val="22"/>
        </w:rPr>
        <w:t>Pré</w:t>
      </w:r>
      <w:proofErr w:type="spellEnd"/>
      <w:r w:rsidRPr="00775882">
        <w:rPr>
          <w:rFonts w:asciiTheme="minorHAnsi" w:hAnsiTheme="minorHAnsi" w:cstheme="minorHAnsi"/>
          <w:color w:val="171717" w:themeColor="background2" w:themeShade="1A"/>
          <w:sz w:val="22"/>
          <w:szCs w:val="22"/>
        </w:rPr>
        <w:t>-Sal Petróleo – CPF ****78.757**</w:t>
      </w:r>
    </w:p>
    <w:p w14:paraId="6A81C42F" w14:textId="4E994509" w:rsidR="00606756" w:rsidRPr="00775882" w:rsidRDefault="00606756" w:rsidP="00722DDC">
      <w:pPr>
        <w:pStyle w:val="Default"/>
        <w:spacing w:line="276" w:lineRule="auto"/>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 xml:space="preserve">Marcelo Pacheco dos </w:t>
      </w:r>
      <w:proofErr w:type="spellStart"/>
      <w:r w:rsidRPr="00775882">
        <w:rPr>
          <w:rFonts w:asciiTheme="minorHAnsi" w:hAnsiTheme="minorHAnsi" w:cstheme="minorHAnsi"/>
          <w:color w:val="171717" w:themeColor="background2" w:themeShade="1A"/>
          <w:sz w:val="22"/>
          <w:szCs w:val="22"/>
        </w:rPr>
        <w:t>Guaranys</w:t>
      </w:r>
      <w:proofErr w:type="spellEnd"/>
      <w:r w:rsidRPr="00775882">
        <w:rPr>
          <w:rFonts w:asciiTheme="minorHAnsi" w:hAnsiTheme="minorHAnsi" w:cstheme="minorHAnsi"/>
          <w:color w:val="171717" w:themeColor="background2" w:themeShade="1A"/>
          <w:sz w:val="22"/>
          <w:szCs w:val="22"/>
        </w:rPr>
        <w:t xml:space="preserve"> – CPF:  ****40.611**</w:t>
      </w:r>
    </w:p>
    <w:p w14:paraId="1C7D66C5" w14:textId="59C288A7" w:rsidR="002E4E74" w:rsidRPr="00775882" w:rsidRDefault="00FA3FE0" w:rsidP="00722DDC">
      <w:pPr>
        <w:pStyle w:val="Default"/>
        <w:jc w:val="both"/>
        <w:rPr>
          <w:rFonts w:asciiTheme="minorHAnsi" w:hAnsiTheme="minorHAnsi" w:cstheme="minorHAnsi"/>
          <w:color w:val="008192"/>
          <w:sz w:val="22"/>
          <w:szCs w:val="22"/>
        </w:rPr>
      </w:pPr>
      <w:r w:rsidRPr="00775882">
        <w:rPr>
          <w:rFonts w:asciiTheme="minorHAnsi" w:hAnsiTheme="minorHAnsi" w:cstheme="minorHAnsi"/>
          <w:color w:val="auto"/>
          <w:sz w:val="22"/>
          <w:szCs w:val="22"/>
        </w:rPr>
        <w:t xml:space="preserve">Lucas Pedreira do Couto Ferraz – CPF: </w:t>
      </w:r>
      <w:r w:rsidR="00FC3497" w:rsidRPr="00775882">
        <w:rPr>
          <w:rFonts w:asciiTheme="minorHAnsi" w:hAnsiTheme="minorHAnsi" w:cstheme="minorHAnsi"/>
          <w:color w:val="auto"/>
          <w:sz w:val="22"/>
          <w:szCs w:val="22"/>
        </w:rPr>
        <w:t>****</w:t>
      </w:r>
      <w:r w:rsidR="00FC3497" w:rsidRPr="00775882">
        <w:rPr>
          <w:rFonts w:asciiTheme="minorHAnsi" w:hAnsiTheme="minorHAnsi" w:cstheme="minorHAnsi"/>
          <w:sz w:val="22"/>
          <w:szCs w:val="22"/>
          <w:bdr w:val="none" w:sz="0" w:space="0" w:color="auto" w:frame="1"/>
        </w:rPr>
        <w:t>50.278**</w:t>
      </w:r>
    </w:p>
    <w:p w14:paraId="585E5365" w14:textId="793B8D34" w:rsidR="00FA3FE0" w:rsidRPr="00775882" w:rsidRDefault="00FA3FE0" w:rsidP="00722DDC">
      <w:pPr>
        <w:pStyle w:val="Default"/>
        <w:jc w:val="both"/>
        <w:rPr>
          <w:rFonts w:asciiTheme="minorHAnsi" w:hAnsiTheme="minorHAnsi" w:cstheme="minorHAnsi"/>
          <w:color w:val="171717" w:themeColor="background2" w:themeShade="1A"/>
          <w:sz w:val="22"/>
          <w:szCs w:val="22"/>
        </w:rPr>
      </w:pPr>
    </w:p>
    <w:p w14:paraId="6510D3D4" w14:textId="1BAED065" w:rsidR="00865BD2" w:rsidRPr="00775882" w:rsidRDefault="00865BD2" w:rsidP="00722DDC">
      <w:pPr>
        <w:pStyle w:val="Default"/>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Administradores subscritores da Carta Anual de Governança Corporativa:</w:t>
      </w:r>
    </w:p>
    <w:p w14:paraId="4C84F9AC" w14:textId="77777777" w:rsidR="005603D5" w:rsidRPr="00775882" w:rsidRDefault="005603D5" w:rsidP="00722DDC">
      <w:pPr>
        <w:pStyle w:val="Default"/>
        <w:jc w:val="both"/>
        <w:rPr>
          <w:rFonts w:asciiTheme="minorHAnsi" w:hAnsiTheme="minorHAnsi" w:cstheme="minorHAnsi"/>
          <w:color w:val="171717" w:themeColor="background2" w:themeShade="1A"/>
          <w:sz w:val="22"/>
          <w:szCs w:val="22"/>
        </w:rPr>
      </w:pPr>
    </w:p>
    <w:p w14:paraId="519B5178" w14:textId="2754C64C" w:rsidR="00865BD2" w:rsidRPr="00775882" w:rsidRDefault="00865BD2" w:rsidP="00722DDC">
      <w:pPr>
        <w:pStyle w:val="Default"/>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 xml:space="preserve">José Eduardo Vinhaes </w:t>
      </w:r>
      <w:proofErr w:type="spellStart"/>
      <w:r w:rsidRPr="00775882">
        <w:rPr>
          <w:rFonts w:asciiTheme="minorHAnsi" w:hAnsiTheme="minorHAnsi" w:cstheme="minorHAnsi"/>
          <w:color w:val="171717" w:themeColor="background2" w:themeShade="1A"/>
          <w:sz w:val="22"/>
          <w:szCs w:val="22"/>
        </w:rPr>
        <w:t>Gerk</w:t>
      </w:r>
      <w:proofErr w:type="spellEnd"/>
      <w:r w:rsidRPr="00775882">
        <w:rPr>
          <w:rFonts w:asciiTheme="minorHAnsi" w:hAnsiTheme="minorHAnsi" w:cstheme="minorHAnsi"/>
          <w:color w:val="171717" w:themeColor="background2" w:themeShade="1A"/>
          <w:sz w:val="22"/>
          <w:szCs w:val="22"/>
        </w:rPr>
        <w:t xml:space="preserve"> – </w:t>
      </w:r>
      <w:r w:rsidR="00775882" w:rsidRPr="00775882">
        <w:rPr>
          <w:rFonts w:asciiTheme="minorHAnsi" w:hAnsiTheme="minorHAnsi" w:cstheme="minorHAnsi"/>
          <w:color w:val="171717" w:themeColor="background2" w:themeShade="1A"/>
          <w:sz w:val="22"/>
          <w:szCs w:val="22"/>
        </w:rPr>
        <w:t>d</w:t>
      </w:r>
      <w:r w:rsidRPr="00775882">
        <w:rPr>
          <w:rFonts w:asciiTheme="minorHAnsi" w:hAnsiTheme="minorHAnsi" w:cstheme="minorHAnsi"/>
          <w:color w:val="171717" w:themeColor="background2" w:themeShade="1A"/>
          <w:sz w:val="22"/>
          <w:szCs w:val="22"/>
        </w:rPr>
        <w:t>iretor-</w:t>
      </w:r>
      <w:r w:rsidR="00775882" w:rsidRPr="00775882">
        <w:rPr>
          <w:rFonts w:asciiTheme="minorHAnsi" w:hAnsiTheme="minorHAnsi" w:cstheme="minorHAnsi"/>
          <w:color w:val="171717" w:themeColor="background2" w:themeShade="1A"/>
          <w:sz w:val="22"/>
          <w:szCs w:val="22"/>
        </w:rPr>
        <w:t>p</w:t>
      </w:r>
      <w:r w:rsidRPr="00775882">
        <w:rPr>
          <w:rFonts w:asciiTheme="minorHAnsi" w:hAnsiTheme="minorHAnsi" w:cstheme="minorHAnsi"/>
          <w:color w:val="171717" w:themeColor="background2" w:themeShade="1A"/>
          <w:sz w:val="22"/>
          <w:szCs w:val="22"/>
        </w:rPr>
        <w:t xml:space="preserve">residente da </w:t>
      </w:r>
      <w:proofErr w:type="spellStart"/>
      <w:r w:rsidRPr="00775882">
        <w:rPr>
          <w:rFonts w:asciiTheme="minorHAnsi" w:hAnsiTheme="minorHAnsi" w:cstheme="minorHAnsi"/>
          <w:color w:val="171717" w:themeColor="background2" w:themeShade="1A"/>
          <w:sz w:val="22"/>
          <w:szCs w:val="22"/>
        </w:rPr>
        <w:t>Pré</w:t>
      </w:r>
      <w:proofErr w:type="spellEnd"/>
      <w:r w:rsidRPr="00775882">
        <w:rPr>
          <w:rFonts w:asciiTheme="minorHAnsi" w:hAnsiTheme="minorHAnsi" w:cstheme="minorHAnsi"/>
          <w:color w:val="171717" w:themeColor="background2" w:themeShade="1A"/>
          <w:sz w:val="22"/>
          <w:szCs w:val="22"/>
        </w:rPr>
        <w:t>-Sal Petróleo – CPF ****78.757**</w:t>
      </w:r>
    </w:p>
    <w:p w14:paraId="355831E0" w14:textId="7C681887" w:rsidR="00865BD2" w:rsidRPr="00775882" w:rsidRDefault="00865BD2" w:rsidP="00722DDC">
      <w:pPr>
        <w:pStyle w:val="Default"/>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 xml:space="preserve">Paulo Moreira de Carvalho – </w:t>
      </w:r>
      <w:r w:rsidR="00775882" w:rsidRPr="00775882">
        <w:rPr>
          <w:rFonts w:asciiTheme="minorHAnsi" w:hAnsiTheme="minorHAnsi" w:cstheme="minorHAnsi"/>
          <w:color w:val="171717" w:themeColor="background2" w:themeShade="1A"/>
          <w:sz w:val="22"/>
          <w:szCs w:val="22"/>
        </w:rPr>
        <w:t>d</w:t>
      </w:r>
      <w:r w:rsidRPr="00775882">
        <w:rPr>
          <w:rFonts w:asciiTheme="minorHAnsi" w:hAnsiTheme="minorHAnsi" w:cstheme="minorHAnsi"/>
          <w:color w:val="171717" w:themeColor="background2" w:themeShade="1A"/>
          <w:sz w:val="22"/>
          <w:szCs w:val="22"/>
        </w:rPr>
        <w:t>iretor</w:t>
      </w:r>
      <w:r w:rsidR="007C32C7" w:rsidRPr="00775882">
        <w:rPr>
          <w:rFonts w:asciiTheme="minorHAnsi" w:hAnsiTheme="minorHAnsi" w:cstheme="minorHAnsi"/>
          <w:color w:val="171717" w:themeColor="background2" w:themeShade="1A"/>
          <w:sz w:val="22"/>
          <w:szCs w:val="22"/>
        </w:rPr>
        <w:t>-</w:t>
      </w:r>
      <w:r w:rsidR="00775882" w:rsidRPr="00775882">
        <w:rPr>
          <w:rFonts w:asciiTheme="minorHAnsi" w:hAnsiTheme="minorHAnsi" w:cstheme="minorHAnsi"/>
          <w:color w:val="171717" w:themeColor="background2" w:themeShade="1A"/>
          <w:sz w:val="22"/>
          <w:szCs w:val="22"/>
        </w:rPr>
        <w:t>t</w:t>
      </w:r>
      <w:r w:rsidRPr="00775882">
        <w:rPr>
          <w:rFonts w:asciiTheme="minorHAnsi" w:hAnsiTheme="minorHAnsi" w:cstheme="minorHAnsi"/>
          <w:color w:val="171717" w:themeColor="background2" w:themeShade="1A"/>
          <w:sz w:val="22"/>
          <w:szCs w:val="22"/>
        </w:rPr>
        <w:t>écnico e de Fiscalização – CPF: ****22.217**</w:t>
      </w:r>
    </w:p>
    <w:p w14:paraId="137E404F" w14:textId="562F34AF" w:rsidR="00865BD2" w:rsidRPr="00775882" w:rsidRDefault="005603D5" w:rsidP="00722DDC">
      <w:pPr>
        <w:pStyle w:val="Default"/>
        <w:jc w:val="both"/>
        <w:rPr>
          <w:rFonts w:asciiTheme="minorHAnsi" w:hAnsiTheme="minorHAnsi" w:cstheme="minorHAnsi"/>
          <w:color w:val="171717" w:themeColor="background2" w:themeShade="1A"/>
          <w:sz w:val="22"/>
          <w:szCs w:val="22"/>
        </w:rPr>
      </w:pPr>
      <w:proofErr w:type="spellStart"/>
      <w:r w:rsidRPr="00775882">
        <w:rPr>
          <w:rFonts w:asciiTheme="minorHAnsi" w:hAnsiTheme="minorHAnsi" w:cstheme="minorHAnsi"/>
          <w:color w:val="171717" w:themeColor="background2" w:themeShade="1A"/>
          <w:sz w:val="22"/>
          <w:szCs w:val="22"/>
        </w:rPr>
        <w:t>Osmond</w:t>
      </w:r>
      <w:proofErr w:type="spellEnd"/>
      <w:r w:rsidRPr="00775882">
        <w:rPr>
          <w:rFonts w:asciiTheme="minorHAnsi" w:hAnsiTheme="minorHAnsi" w:cstheme="minorHAnsi"/>
          <w:color w:val="171717" w:themeColor="background2" w:themeShade="1A"/>
          <w:sz w:val="22"/>
          <w:szCs w:val="22"/>
        </w:rPr>
        <w:t xml:space="preserve"> Coelho Junior – </w:t>
      </w:r>
      <w:r w:rsidR="00775882" w:rsidRPr="00775882">
        <w:rPr>
          <w:rFonts w:asciiTheme="minorHAnsi" w:hAnsiTheme="minorHAnsi" w:cstheme="minorHAnsi"/>
          <w:color w:val="171717" w:themeColor="background2" w:themeShade="1A"/>
          <w:sz w:val="22"/>
          <w:szCs w:val="22"/>
        </w:rPr>
        <w:t>d</w:t>
      </w:r>
      <w:r w:rsidRPr="00775882">
        <w:rPr>
          <w:rFonts w:asciiTheme="minorHAnsi" w:hAnsiTheme="minorHAnsi" w:cstheme="minorHAnsi"/>
          <w:color w:val="171717" w:themeColor="background2" w:themeShade="1A"/>
          <w:sz w:val="22"/>
          <w:szCs w:val="22"/>
        </w:rPr>
        <w:t>iretor de Gestão e Contratos</w:t>
      </w:r>
      <w:r w:rsidR="00865BD2" w:rsidRPr="00775882">
        <w:rPr>
          <w:rFonts w:asciiTheme="minorHAnsi" w:hAnsiTheme="minorHAnsi" w:cstheme="minorHAnsi"/>
          <w:color w:val="171717" w:themeColor="background2" w:themeShade="1A"/>
          <w:sz w:val="22"/>
          <w:szCs w:val="22"/>
        </w:rPr>
        <w:t xml:space="preserve"> </w:t>
      </w:r>
      <w:r w:rsidRPr="00775882">
        <w:rPr>
          <w:rFonts w:asciiTheme="minorHAnsi" w:hAnsiTheme="minorHAnsi" w:cstheme="minorHAnsi"/>
          <w:color w:val="171717" w:themeColor="background2" w:themeShade="1A"/>
          <w:sz w:val="22"/>
          <w:szCs w:val="22"/>
        </w:rPr>
        <w:t>– CPF: ****27.067**</w:t>
      </w:r>
    </w:p>
    <w:p w14:paraId="3602B137" w14:textId="143E5E93" w:rsidR="005603D5" w:rsidRPr="00722DDC" w:rsidRDefault="005603D5" w:rsidP="00722DDC">
      <w:pPr>
        <w:pStyle w:val="Default"/>
        <w:spacing w:line="276" w:lineRule="auto"/>
        <w:jc w:val="both"/>
        <w:rPr>
          <w:rFonts w:asciiTheme="minorHAnsi" w:hAnsiTheme="minorHAnsi" w:cstheme="minorHAnsi"/>
          <w:color w:val="171717" w:themeColor="background2" w:themeShade="1A"/>
          <w:sz w:val="22"/>
          <w:szCs w:val="22"/>
        </w:rPr>
      </w:pPr>
      <w:r w:rsidRPr="00775882">
        <w:rPr>
          <w:rFonts w:asciiTheme="minorHAnsi" w:hAnsiTheme="minorHAnsi" w:cstheme="minorHAnsi"/>
          <w:color w:val="171717" w:themeColor="background2" w:themeShade="1A"/>
          <w:sz w:val="22"/>
          <w:szCs w:val="22"/>
        </w:rPr>
        <w:t xml:space="preserve">Samir Passos </w:t>
      </w:r>
      <w:proofErr w:type="spellStart"/>
      <w:r w:rsidRPr="00775882">
        <w:rPr>
          <w:rFonts w:asciiTheme="minorHAnsi" w:hAnsiTheme="minorHAnsi" w:cstheme="minorHAnsi"/>
          <w:color w:val="171717" w:themeColor="background2" w:themeShade="1A"/>
          <w:sz w:val="22"/>
          <w:szCs w:val="22"/>
        </w:rPr>
        <w:t>Awad</w:t>
      </w:r>
      <w:proofErr w:type="spellEnd"/>
      <w:r w:rsidRPr="00775882">
        <w:rPr>
          <w:rFonts w:asciiTheme="minorHAnsi" w:hAnsiTheme="minorHAnsi" w:cstheme="minorHAnsi"/>
          <w:color w:val="171717" w:themeColor="background2" w:themeShade="1A"/>
          <w:sz w:val="22"/>
          <w:szCs w:val="22"/>
        </w:rPr>
        <w:t xml:space="preserve"> </w:t>
      </w:r>
      <w:r w:rsidR="007C32C7" w:rsidRPr="00775882">
        <w:rPr>
          <w:rFonts w:asciiTheme="minorHAnsi" w:hAnsiTheme="minorHAnsi" w:cstheme="minorHAnsi"/>
          <w:color w:val="171717" w:themeColor="background2" w:themeShade="1A"/>
          <w:sz w:val="22"/>
          <w:szCs w:val="22"/>
        </w:rPr>
        <w:t>–</w:t>
      </w:r>
      <w:r w:rsidRPr="00775882">
        <w:rPr>
          <w:rFonts w:asciiTheme="minorHAnsi" w:hAnsiTheme="minorHAnsi" w:cstheme="minorHAnsi"/>
          <w:color w:val="171717" w:themeColor="background2" w:themeShade="1A"/>
          <w:sz w:val="22"/>
          <w:szCs w:val="22"/>
        </w:rPr>
        <w:t xml:space="preserve"> </w:t>
      </w:r>
      <w:r w:rsidR="00775882" w:rsidRPr="00775882">
        <w:rPr>
          <w:rFonts w:asciiTheme="minorHAnsi" w:hAnsiTheme="minorHAnsi" w:cstheme="minorHAnsi"/>
          <w:color w:val="171717" w:themeColor="background2" w:themeShade="1A"/>
          <w:sz w:val="22"/>
          <w:szCs w:val="22"/>
        </w:rPr>
        <w:t>d</w:t>
      </w:r>
      <w:r w:rsidRPr="00775882">
        <w:rPr>
          <w:rFonts w:asciiTheme="minorHAnsi" w:hAnsiTheme="minorHAnsi" w:cstheme="minorHAnsi"/>
          <w:color w:val="171717" w:themeColor="background2" w:themeShade="1A"/>
          <w:sz w:val="22"/>
          <w:szCs w:val="22"/>
        </w:rPr>
        <w:t>iretor de Administração, Controle e Finanças – CPF: ****53.157**</w:t>
      </w:r>
    </w:p>
    <w:p w14:paraId="0F1EE948" w14:textId="20555815" w:rsidR="005603D5" w:rsidRPr="00722DDC" w:rsidRDefault="005603D5" w:rsidP="00722DDC">
      <w:pPr>
        <w:pStyle w:val="Default"/>
        <w:jc w:val="both"/>
        <w:rPr>
          <w:rFonts w:asciiTheme="minorHAnsi" w:hAnsiTheme="minorHAnsi" w:cstheme="minorHAnsi"/>
          <w:color w:val="171717" w:themeColor="background2" w:themeShade="1A"/>
          <w:sz w:val="22"/>
          <w:szCs w:val="22"/>
        </w:rPr>
      </w:pPr>
    </w:p>
    <w:p w14:paraId="6D75D9AF" w14:textId="06456C79" w:rsidR="00865BD2" w:rsidRPr="00722DDC" w:rsidRDefault="00865BD2" w:rsidP="00722DDC">
      <w:pPr>
        <w:pStyle w:val="Default"/>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Data de aprovação</w:t>
      </w:r>
      <w:r w:rsidRPr="00FB0D35">
        <w:rPr>
          <w:rFonts w:asciiTheme="minorHAnsi" w:hAnsiTheme="minorHAnsi" w:cstheme="minorHAnsi"/>
          <w:color w:val="171717" w:themeColor="background2" w:themeShade="1A"/>
          <w:sz w:val="22"/>
          <w:szCs w:val="22"/>
        </w:rPr>
        <w:t xml:space="preserve">: </w:t>
      </w:r>
      <w:r w:rsidR="00FB0D35">
        <w:rPr>
          <w:rFonts w:asciiTheme="minorHAnsi" w:hAnsiTheme="minorHAnsi" w:cstheme="minorHAnsi"/>
          <w:color w:val="171717" w:themeColor="background2" w:themeShade="1A"/>
          <w:sz w:val="22"/>
          <w:szCs w:val="22"/>
        </w:rPr>
        <w:t>27</w:t>
      </w:r>
      <w:r w:rsidRPr="00FB0D35">
        <w:rPr>
          <w:rFonts w:asciiTheme="minorHAnsi" w:hAnsiTheme="minorHAnsi" w:cstheme="minorHAnsi"/>
          <w:color w:val="171717" w:themeColor="background2" w:themeShade="1A"/>
          <w:sz w:val="22"/>
          <w:szCs w:val="22"/>
        </w:rPr>
        <w:t>/</w:t>
      </w:r>
      <w:r w:rsidR="00FB0D35">
        <w:rPr>
          <w:rFonts w:asciiTheme="minorHAnsi" w:hAnsiTheme="minorHAnsi" w:cstheme="minorHAnsi"/>
          <w:color w:val="171717" w:themeColor="background2" w:themeShade="1A"/>
          <w:sz w:val="22"/>
          <w:szCs w:val="22"/>
        </w:rPr>
        <w:t>08</w:t>
      </w:r>
      <w:r w:rsidRPr="00FB0D35">
        <w:rPr>
          <w:rFonts w:asciiTheme="minorHAnsi" w:hAnsiTheme="minorHAnsi" w:cstheme="minorHAnsi"/>
          <w:color w:val="171717" w:themeColor="background2" w:themeShade="1A"/>
          <w:sz w:val="22"/>
          <w:szCs w:val="22"/>
        </w:rPr>
        <w:t>/20</w:t>
      </w:r>
      <w:r w:rsidR="005603D5" w:rsidRPr="00FB0D35">
        <w:rPr>
          <w:rFonts w:asciiTheme="minorHAnsi" w:hAnsiTheme="minorHAnsi" w:cstheme="minorHAnsi"/>
          <w:color w:val="171717" w:themeColor="background2" w:themeShade="1A"/>
          <w:sz w:val="22"/>
          <w:szCs w:val="22"/>
        </w:rPr>
        <w:t>20</w:t>
      </w:r>
    </w:p>
    <w:p w14:paraId="2BC5EECD" w14:textId="77777777" w:rsidR="005603D5" w:rsidRPr="00722DDC" w:rsidRDefault="005603D5" w:rsidP="00722DDC">
      <w:pPr>
        <w:pStyle w:val="Default"/>
        <w:jc w:val="both"/>
        <w:rPr>
          <w:rFonts w:asciiTheme="minorHAnsi" w:hAnsiTheme="minorHAnsi" w:cstheme="minorHAnsi"/>
          <w:color w:val="171717" w:themeColor="background2" w:themeShade="1A"/>
          <w:sz w:val="22"/>
          <w:szCs w:val="22"/>
        </w:rPr>
      </w:pPr>
    </w:p>
    <w:p w14:paraId="216D1A5F" w14:textId="6753DE94" w:rsidR="00F77E02" w:rsidRPr="00722DDC" w:rsidRDefault="00F77E02" w:rsidP="00F77E02">
      <w:pPr>
        <w:pStyle w:val="Default"/>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Nota: </w:t>
      </w:r>
      <w:r>
        <w:rPr>
          <w:rFonts w:asciiTheme="minorHAnsi" w:hAnsiTheme="minorHAnsi" w:cstheme="minorHAnsi"/>
          <w:color w:val="171717" w:themeColor="background2" w:themeShade="1A"/>
          <w:sz w:val="22"/>
          <w:szCs w:val="22"/>
        </w:rPr>
        <w:t>a</w:t>
      </w:r>
      <w:r w:rsidRPr="00722DDC">
        <w:rPr>
          <w:rFonts w:asciiTheme="minorHAnsi" w:hAnsiTheme="minorHAnsi" w:cstheme="minorHAnsi"/>
          <w:color w:val="171717" w:themeColor="background2" w:themeShade="1A"/>
          <w:sz w:val="22"/>
          <w:szCs w:val="22"/>
        </w:rPr>
        <w:t xml:space="preserve"> presente </w:t>
      </w:r>
      <w:r>
        <w:rPr>
          <w:rFonts w:asciiTheme="minorHAnsi" w:hAnsiTheme="minorHAnsi" w:cstheme="minorHAnsi"/>
          <w:color w:val="171717" w:themeColor="background2" w:themeShade="1A"/>
          <w:sz w:val="22"/>
          <w:szCs w:val="22"/>
        </w:rPr>
        <w:t>c</w:t>
      </w:r>
      <w:r w:rsidRPr="00722DDC">
        <w:rPr>
          <w:rFonts w:asciiTheme="minorHAnsi" w:hAnsiTheme="minorHAnsi" w:cstheme="minorHAnsi"/>
          <w:color w:val="171717" w:themeColor="background2" w:themeShade="1A"/>
          <w:sz w:val="22"/>
          <w:szCs w:val="22"/>
        </w:rPr>
        <w:t>arta utiliza como base o modelo proposto pela Secretaria de Coordenação e Governança das Empresas Estatais (S</w:t>
      </w:r>
      <w:r>
        <w:rPr>
          <w:rFonts w:asciiTheme="minorHAnsi" w:hAnsiTheme="minorHAnsi" w:cstheme="minorHAnsi"/>
          <w:color w:val="171717" w:themeColor="background2" w:themeShade="1A"/>
          <w:sz w:val="22"/>
          <w:szCs w:val="22"/>
        </w:rPr>
        <w:t>EST</w:t>
      </w:r>
      <w:r w:rsidRPr="00072AFD">
        <w:rPr>
          <w:rFonts w:asciiTheme="minorHAnsi" w:hAnsiTheme="minorHAnsi" w:cstheme="minorHAnsi"/>
          <w:color w:val="171717" w:themeColor="background2" w:themeShade="1A"/>
          <w:sz w:val="22"/>
          <w:szCs w:val="22"/>
        </w:rPr>
        <w:t>/M</w:t>
      </w:r>
      <w:r>
        <w:rPr>
          <w:rFonts w:asciiTheme="minorHAnsi" w:hAnsiTheme="minorHAnsi" w:cstheme="minorHAnsi"/>
          <w:color w:val="171717" w:themeColor="background2" w:themeShade="1A"/>
          <w:sz w:val="22"/>
          <w:szCs w:val="22"/>
        </w:rPr>
        <w:t>E)</w:t>
      </w:r>
      <w:r w:rsidRPr="00722DDC">
        <w:rPr>
          <w:rFonts w:asciiTheme="minorHAnsi" w:hAnsiTheme="minorHAnsi" w:cstheme="minorHAnsi"/>
          <w:color w:val="171717" w:themeColor="background2" w:themeShade="1A"/>
          <w:sz w:val="22"/>
          <w:szCs w:val="22"/>
        </w:rPr>
        <w:t xml:space="preserve">, elaborado em conjunto com </w:t>
      </w:r>
      <w:r>
        <w:rPr>
          <w:rFonts w:asciiTheme="minorHAnsi" w:hAnsiTheme="minorHAnsi" w:cstheme="minorHAnsi"/>
          <w:color w:val="171717" w:themeColor="background2" w:themeShade="1A"/>
          <w:sz w:val="22"/>
          <w:szCs w:val="22"/>
        </w:rPr>
        <w:t xml:space="preserve">a Secretaria do Tesouro </w:t>
      </w:r>
      <w:r>
        <w:rPr>
          <w:rFonts w:asciiTheme="minorHAnsi" w:hAnsiTheme="minorHAnsi" w:cstheme="minorHAnsi"/>
          <w:color w:val="171717" w:themeColor="background2" w:themeShade="1A"/>
          <w:sz w:val="22"/>
          <w:szCs w:val="22"/>
        </w:rPr>
        <w:lastRenderedPageBreak/>
        <w:t>Nacional, Procuradoria Geral da Fazenda Nacional, Secretaria Executiva</w:t>
      </w:r>
      <w:r w:rsidRPr="00072AFD">
        <w:rPr>
          <w:rFonts w:asciiTheme="minorHAnsi" w:hAnsiTheme="minorHAnsi" w:cstheme="minorHAnsi"/>
          <w:color w:val="171717" w:themeColor="background2" w:themeShade="1A"/>
          <w:sz w:val="22"/>
          <w:szCs w:val="22"/>
        </w:rPr>
        <w:t>/M</w:t>
      </w:r>
      <w:r>
        <w:rPr>
          <w:rFonts w:asciiTheme="minorHAnsi" w:hAnsiTheme="minorHAnsi" w:cstheme="minorHAnsi"/>
          <w:color w:val="171717" w:themeColor="background2" w:themeShade="1A"/>
          <w:sz w:val="22"/>
          <w:szCs w:val="22"/>
        </w:rPr>
        <w:t xml:space="preserve">E, </w:t>
      </w:r>
      <w:r w:rsidRPr="00722DDC">
        <w:rPr>
          <w:rFonts w:asciiTheme="minorHAnsi" w:hAnsiTheme="minorHAnsi" w:cstheme="minorHAnsi"/>
          <w:color w:val="171717" w:themeColor="background2" w:themeShade="1A"/>
          <w:sz w:val="22"/>
          <w:szCs w:val="22"/>
        </w:rPr>
        <w:t xml:space="preserve">Bovespa e Comissão de Valores Mobiliários </w:t>
      </w:r>
      <w:r>
        <w:rPr>
          <w:rFonts w:asciiTheme="minorHAnsi" w:hAnsiTheme="minorHAnsi" w:cstheme="minorHAnsi"/>
          <w:color w:val="171717" w:themeColor="background2" w:themeShade="1A"/>
          <w:sz w:val="22"/>
          <w:szCs w:val="22"/>
        </w:rPr>
        <w:t>(</w:t>
      </w:r>
      <w:r w:rsidRPr="00722DDC">
        <w:rPr>
          <w:rFonts w:asciiTheme="minorHAnsi" w:hAnsiTheme="minorHAnsi" w:cstheme="minorHAnsi"/>
          <w:color w:val="171717" w:themeColor="background2" w:themeShade="1A"/>
          <w:sz w:val="22"/>
          <w:szCs w:val="22"/>
        </w:rPr>
        <w:t>CVM</w:t>
      </w:r>
      <w:r>
        <w:rPr>
          <w:rFonts w:asciiTheme="minorHAnsi" w:hAnsiTheme="minorHAnsi" w:cstheme="minorHAnsi"/>
          <w:color w:val="171717" w:themeColor="background2" w:themeShade="1A"/>
          <w:sz w:val="22"/>
          <w:szCs w:val="22"/>
        </w:rPr>
        <w:t>).</w:t>
      </w:r>
    </w:p>
    <w:p w14:paraId="719968CE" w14:textId="77777777" w:rsidR="00F77E02" w:rsidRPr="00722DDC" w:rsidRDefault="00F77E02" w:rsidP="00F77E02">
      <w:pPr>
        <w:pStyle w:val="Default"/>
        <w:jc w:val="both"/>
        <w:rPr>
          <w:rFonts w:asciiTheme="minorHAnsi" w:hAnsiTheme="minorHAnsi" w:cstheme="minorHAnsi"/>
          <w:color w:val="008192"/>
          <w:sz w:val="22"/>
          <w:szCs w:val="22"/>
        </w:rPr>
      </w:pPr>
    </w:p>
    <w:p w14:paraId="3F6CB020" w14:textId="77777777" w:rsidR="0036307B" w:rsidRPr="00722DDC" w:rsidRDefault="0036307B" w:rsidP="00722DDC">
      <w:pPr>
        <w:pStyle w:val="Default"/>
        <w:jc w:val="both"/>
        <w:rPr>
          <w:rFonts w:asciiTheme="minorHAnsi" w:hAnsiTheme="minorHAnsi" w:cstheme="minorHAnsi"/>
          <w:color w:val="008192"/>
          <w:sz w:val="22"/>
          <w:szCs w:val="22"/>
        </w:rPr>
      </w:pPr>
    </w:p>
    <w:p w14:paraId="57F99FFE" w14:textId="4F9D02CB" w:rsidR="006F3181" w:rsidRPr="00722DDC" w:rsidRDefault="006F3181" w:rsidP="00722DDC">
      <w:pPr>
        <w:pStyle w:val="Default"/>
        <w:jc w:val="both"/>
        <w:rPr>
          <w:rFonts w:asciiTheme="minorHAnsi" w:hAnsiTheme="minorHAnsi" w:cstheme="minorHAnsi"/>
          <w:b/>
          <w:bCs/>
          <w:color w:val="008192"/>
          <w:sz w:val="22"/>
          <w:szCs w:val="22"/>
        </w:rPr>
      </w:pPr>
      <w:r w:rsidRPr="009C262E">
        <w:rPr>
          <w:rFonts w:asciiTheme="minorHAnsi" w:hAnsiTheme="minorHAnsi" w:cstheme="minorHAnsi"/>
          <w:b/>
          <w:bCs/>
          <w:color w:val="008192"/>
          <w:sz w:val="22"/>
          <w:szCs w:val="22"/>
        </w:rPr>
        <w:t xml:space="preserve">Composição </w:t>
      </w:r>
      <w:r w:rsidR="006623DC" w:rsidRPr="009C262E">
        <w:rPr>
          <w:rFonts w:asciiTheme="minorHAnsi" w:hAnsiTheme="minorHAnsi" w:cstheme="minorHAnsi"/>
          <w:b/>
          <w:bCs/>
          <w:color w:val="008192"/>
          <w:sz w:val="22"/>
          <w:szCs w:val="22"/>
        </w:rPr>
        <w:t>a</w:t>
      </w:r>
      <w:r w:rsidRPr="009C262E">
        <w:rPr>
          <w:rFonts w:asciiTheme="minorHAnsi" w:hAnsiTheme="minorHAnsi" w:cstheme="minorHAnsi"/>
          <w:b/>
          <w:bCs/>
          <w:color w:val="008192"/>
          <w:sz w:val="22"/>
          <w:szCs w:val="22"/>
        </w:rPr>
        <w:t>cionária</w:t>
      </w:r>
      <w:r w:rsidRPr="00722DDC">
        <w:rPr>
          <w:rFonts w:asciiTheme="minorHAnsi" w:hAnsiTheme="minorHAnsi" w:cstheme="minorHAnsi"/>
          <w:b/>
          <w:bCs/>
          <w:color w:val="008192"/>
          <w:sz w:val="22"/>
          <w:szCs w:val="22"/>
        </w:rPr>
        <w:t xml:space="preserve"> </w:t>
      </w:r>
    </w:p>
    <w:p w14:paraId="0998E41E" w14:textId="77777777" w:rsidR="006F3181" w:rsidRPr="00722DDC" w:rsidRDefault="006F3181" w:rsidP="00722DDC">
      <w:pPr>
        <w:pStyle w:val="Default"/>
        <w:jc w:val="both"/>
        <w:rPr>
          <w:rFonts w:asciiTheme="minorHAnsi" w:hAnsiTheme="minorHAnsi" w:cstheme="minorHAnsi"/>
          <w:sz w:val="22"/>
          <w:szCs w:val="22"/>
        </w:rPr>
      </w:pPr>
    </w:p>
    <w:p w14:paraId="08BEA15F" w14:textId="23F66C81" w:rsidR="006F3181" w:rsidRPr="00722DDC" w:rsidRDefault="006F3181" w:rsidP="00722DDC">
      <w:pPr>
        <w:pStyle w:val="Default"/>
        <w:jc w:val="both"/>
        <w:rPr>
          <w:rFonts w:asciiTheme="minorHAnsi" w:hAnsiTheme="minorHAnsi" w:cstheme="minorHAnsi"/>
          <w:color w:val="008192"/>
          <w:sz w:val="22"/>
          <w:szCs w:val="22"/>
        </w:rPr>
      </w:pPr>
      <w:r w:rsidRPr="00722DDC">
        <w:rPr>
          <w:rFonts w:asciiTheme="minorHAnsi" w:hAnsiTheme="minorHAnsi" w:cstheme="minorHAnsi"/>
          <w:sz w:val="22"/>
          <w:szCs w:val="22"/>
        </w:rPr>
        <w:t xml:space="preserve">A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-Sal Petróleo teve sua criação autorizada </w:t>
      </w:r>
      <w:r w:rsidRPr="006623DC">
        <w:rPr>
          <w:rFonts w:asciiTheme="minorHAnsi" w:hAnsiTheme="minorHAnsi" w:cstheme="minorHAnsi"/>
          <w:sz w:val="22"/>
          <w:szCs w:val="22"/>
        </w:rPr>
        <w:t xml:space="preserve">em 2 de agosto de 2010, por meio da Lei nº 12.304. O Decreto nº 8.063, de </w:t>
      </w:r>
      <w:r w:rsidRPr="009C262E">
        <w:rPr>
          <w:rFonts w:asciiTheme="minorHAnsi" w:hAnsiTheme="minorHAnsi" w:cstheme="minorHAnsi"/>
          <w:sz w:val="22"/>
          <w:szCs w:val="22"/>
        </w:rPr>
        <w:t xml:space="preserve">1º de agosto de 2013, criou a empresa, aprovando o seu primeiro Estatuto Social e estabelecendo o capital </w:t>
      </w:r>
      <w:r w:rsidRPr="00C00AE5">
        <w:rPr>
          <w:rFonts w:asciiTheme="minorHAnsi" w:hAnsiTheme="minorHAnsi" w:cstheme="minorHAnsi"/>
          <w:sz w:val="22"/>
          <w:szCs w:val="22"/>
        </w:rPr>
        <w:t>social inicial de R$ 50 milhões. Em 12 de novembro de 2013, ocorreu a Assembleia</w:t>
      </w:r>
      <w:r w:rsidR="00F930C0" w:rsidRPr="00C00AE5">
        <w:rPr>
          <w:rFonts w:asciiTheme="minorHAnsi" w:hAnsiTheme="minorHAnsi" w:cstheme="minorHAnsi"/>
          <w:sz w:val="22"/>
          <w:szCs w:val="22"/>
        </w:rPr>
        <w:t>-</w:t>
      </w:r>
      <w:r w:rsidRPr="00C00AE5">
        <w:rPr>
          <w:rFonts w:asciiTheme="minorHAnsi" w:hAnsiTheme="minorHAnsi" w:cstheme="minorHAnsi"/>
          <w:sz w:val="22"/>
          <w:szCs w:val="22"/>
        </w:rPr>
        <w:t xml:space="preserve">Geral de constituição da </w:t>
      </w:r>
      <w:r w:rsidR="00F930C0" w:rsidRPr="00C00AE5">
        <w:rPr>
          <w:rFonts w:asciiTheme="minorHAnsi" w:hAnsiTheme="minorHAnsi" w:cstheme="minorHAnsi"/>
          <w:sz w:val="22"/>
          <w:szCs w:val="22"/>
        </w:rPr>
        <w:t>companhia</w:t>
      </w:r>
      <w:r w:rsidRPr="00C00AE5">
        <w:rPr>
          <w:rFonts w:asciiTheme="minorHAnsi" w:hAnsiTheme="minorHAnsi" w:cstheme="minorHAnsi"/>
          <w:sz w:val="22"/>
          <w:szCs w:val="22"/>
        </w:rPr>
        <w:t>. O capital social é 100% da</w:t>
      </w:r>
      <w:r w:rsidRPr="00722DDC">
        <w:rPr>
          <w:rFonts w:asciiTheme="minorHAnsi" w:hAnsiTheme="minorHAnsi" w:cstheme="minorHAnsi"/>
          <w:sz w:val="22"/>
          <w:szCs w:val="22"/>
        </w:rPr>
        <w:t xml:space="preserve"> União. A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-Sal Petróleo é uma empresa pública não dependente, vinculada ao Ministério de Minas e Energia.</w:t>
      </w:r>
    </w:p>
    <w:p w14:paraId="30129426" w14:textId="53CA3E8F" w:rsidR="006F3181" w:rsidRPr="00722DDC" w:rsidRDefault="006F3181" w:rsidP="00722DDC">
      <w:pPr>
        <w:pStyle w:val="Default"/>
        <w:jc w:val="both"/>
        <w:rPr>
          <w:rFonts w:asciiTheme="minorHAnsi" w:hAnsiTheme="minorHAnsi" w:cstheme="minorHAnsi"/>
          <w:color w:val="008192"/>
          <w:sz w:val="22"/>
          <w:szCs w:val="22"/>
        </w:rPr>
      </w:pPr>
    </w:p>
    <w:p w14:paraId="10CEDC1A" w14:textId="6ADE975A" w:rsidR="006F3181" w:rsidRPr="00722DDC" w:rsidRDefault="006F3181" w:rsidP="00722DDC">
      <w:pPr>
        <w:pStyle w:val="Default"/>
        <w:jc w:val="both"/>
        <w:rPr>
          <w:rFonts w:asciiTheme="minorHAnsi" w:hAnsiTheme="minorHAnsi" w:cstheme="minorHAnsi"/>
          <w:color w:val="008192"/>
          <w:sz w:val="22"/>
          <w:szCs w:val="22"/>
        </w:rPr>
      </w:pPr>
    </w:p>
    <w:p w14:paraId="5E3881C7" w14:textId="77777777" w:rsidR="00F86B89" w:rsidRPr="00722DDC" w:rsidRDefault="00F86B89"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Interesse público subjacente às atividades empresariais</w:t>
      </w:r>
    </w:p>
    <w:p w14:paraId="3FF9ABEB" w14:textId="77777777" w:rsidR="00F86B89" w:rsidRPr="00722DDC" w:rsidRDefault="00F86B89" w:rsidP="00722DDC">
      <w:pPr>
        <w:pStyle w:val="Default"/>
        <w:jc w:val="both"/>
        <w:rPr>
          <w:rFonts w:asciiTheme="minorHAnsi" w:hAnsiTheme="minorHAnsi" w:cstheme="minorHAnsi"/>
          <w:b/>
          <w:bCs/>
          <w:color w:val="008192"/>
          <w:sz w:val="22"/>
          <w:szCs w:val="22"/>
        </w:rPr>
      </w:pPr>
    </w:p>
    <w:p w14:paraId="3FB64023" w14:textId="3FAD5E6A" w:rsidR="00C02998" w:rsidRPr="00722DDC" w:rsidRDefault="00F86B89" w:rsidP="00722DDC">
      <w:pPr>
        <w:pStyle w:val="Default"/>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O regime de partilha de produção foi instituído no Brasil pela Lei nº 12.351/2010. Em paralelo, foi aprovada a Lei</w:t>
      </w:r>
      <w:r w:rsidR="00C02998" w:rsidRPr="00722DDC">
        <w:rPr>
          <w:rFonts w:asciiTheme="minorHAnsi" w:hAnsiTheme="minorHAnsi" w:cstheme="minorHAnsi"/>
          <w:color w:val="171717" w:themeColor="background2" w:themeShade="1A"/>
          <w:sz w:val="22"/>
          <w:szCs w:val="22"/>
        </w:rPr>
        <w:t xml:space="preserve"> </w:t>
      </w:r>
      <w:r w:rsidRPr="00722DDC">
        <w:rPr>
          <w:rFonts w:asciiTheme="minorHAnsi" w:hAnsiTheme="minorHAnsi" w:cstheme="minorHAnsi"/>
          <w:color w:val="171717" w:themeColor="background2" w:themeShade="1A"/>
          <w:sz w:val="22"/>
          <w:szCs w:val="22"/>
        </w:rPr>
        <w:t xml:space="preserve">nº 12.304, que autorizou a criação da </w:t>
      </w:r>
      <w:proofErr w:type="spellStart"/>
      <w:r w:rsidRPr="00722DDC">
        <w:rPr>
          <w:rFonts w:asciiTheme="minorHAnsi" w:hAnsiTheme="minorHAnsi" w:cstheme="minorHAnsi"/>
          <w:color w:val="171717" w:themeColor="background2" w:themeShade="1A"/>
          <w:sz w:val="22"/>
          <w:szCs w:val="22"/>
        </w:rPr>
        <w:t>Pré</w:t>
      </w:r>
      <w:proofErr w:type="spellEnd"/>
      <w:r w:rsidRPr="00722DDC">
        <w:rPr>
          <w:rFonts w:asciiTheme="minorHAnsi" w:hAnsiTheme="minorHAnsi" w:cstheme="minorHAnsi"/>
          <w:color w:val="171717" w:themeColor="background2" w:themeShade="1A"/>
          <w:sz w:val="22"/>
          <w:szCs w:val="22"/>
        </w:rPr>
        <w:t xml:space="preserve">-Sal Petróleo. </w:t>
      </w:r>
      <w:r w:rsidR="00C02998" w:rsidRPr="00722DDC">
        <w:rPr>
          <w:rFonts w:asciiTheme="minorHAnsi" w:hAnsiTheme="minorHAnsi" w:cstheme="minorHAnsi"/>
          <w:color w:val="171717" w:themeColor="background2" w:themeShade="1A"/>
          <w:sz w:val="22"/>
          <w:szCs w:val="22"/>
        </w:rPr>
        <w:t xml:space="preserve">Por lei, todos os contratos de exploração e produção </w:t>
      </w:r>
      <w:r w:rsidR="00F930C0">
        <w:rPr>
          <w:rFonts w:asciiTheme="minorHAnsi" w:hAnsiTheme="minorHAnsi" w:cstheme="minorHAnsi"/>
          <w:color w:val="171717" w:themeColor="background2" w:themeShade="1A"/>
          <w:sz w:val="22"/>
          <w:szCs w:val="22"/>
        </w:rPr>
        <w:t>d</w:t>
      </w:r>
      <w:r w:rsidR="00C02998" w:rsidRPr="00722DDC">
        <w:rPr>
          <w:rFonts w:asciiTheme="minorHAnsi" w:hAnsiTheme="minorHAnsi" w:cstheme="minorHAnsi"/>
          <w:color w:val="171717" w:themeColor="background2" w:themeShade="1A"/>
          <w:sz w:val="22"/>
          <w:szCs w:val="22"/>
        </w:rPr>
        <w:t>e petróleo e gás natural no Polígono do</w:t>
      </w:r>
      <w:r w:rsidR="00F930C0">
        <w:rPr>
          <w:rFonts w:asciiTheme="minorHAnsi" w:hAnsiTheme="minorHAnsi" w:cstheme="minorHAnsi"/>
          <w:color w:val="171717" w:themeColor="background2" w:themeShade="1A"/>
          <w:sz w:val="22"/>
          <w:szCs w:val="22"/>
        </w:rPr>
        <w:t xml:space="preserve"> </w:t>
      </w:r>
      <w:proofErr w:type="spellStart"/>
      <w:r w:rsidR="00C02998" w:rsidRPr="00722DDC">
        <w:rPr>
          <w:rFonts w:asciiTheme="minorHAnsi" w:hAnsiTheme="minorHAnsi" w:cstheme="minorHAnsi"/>
          <w:color w:val="171717" w:themeColor="background2" w:themeShade="1A"/>
          <w:sz w:val="22"/>
          <w:szCs w:val="22"/>
        </w:rPr>
        <w:t>Pré</w:t>
      </w:r>
      <w:proofErr w:type="spellEnd"/>
      <w:r w:rsidR="00C02998" w:rsidRPr="00722DDC">
        <w:rPr>
          <w:rFonts w:asciiTheme="minorHAnsi" w:hAnsiTheme="minorHAnsi" w:cstheme="minorHAnsi"/>
          <w:color w:val="171717" w:themeColor="background2" w:themeShade="1A"/>
          <w:sz w:val="22"/>
          <w:szCs w:val="22"/>
        </w:rPr>
        <w:t xml:space="preserve">-sal são celebrados em regime de partilha de produção, tendo a </w:t>
      </w:r>
      <w:proofErr w:type="spellStart"/>
      <w:r w:rsidR="00C02998" w:rsidRPr="00722DDC">
        <w:rPr>
          <w:rFonts w:asciiTheme="minorHAnsi" w:hAnsiTheme="minorHAnsi" w:cstheme="minorHAnsi"/>
          <w:color w:val="171717" w:themeColor="background2" w:themeShade="1A"/>
          <w:sz w:val="22"/>
          <w:szCs w:val="22"/>
        </w:rPr>
        <w:t>Pré</w:t>
      </w:r>
      <w:proofErr w:type="spellEnd"/>
      <w:r w:rsidR="00C02998" w:rsidRPr="00722DDC">
        <w:rPr>
          <w:rFonts w:asciiTheme="minorHAnsi" w:hAnsiTheme="minorHAnsi" w:cstheme="minorHAnsi"/>
          <w:color w:val="171717" w:themeColor="background2" w:themeShade="1A"/>
          <w:sz w:val="22"/>
          <w:szCs w:val="22"/>
        </w:rPr>
        <w:t>-Sal Petróleo como gestora.</w:t>
      </w:r>
    </w:p>
    <w:p w14:paraId="6F98CF99" w14:textId="77777777" w:rsidR="00C02998" w:rsidRPr="00722DDC" w:rsidRDefault="00C02998" w:rsidP="00722DDC">
      <w:pPr>
        <w:pStyle w:val="Default"/>
        <w:jc w:val="both"/>
        <w:rPr>
          <w:rFonts w:asciiTheme="minorHAnsi" w:hAnsiTheme="minorHAnsi" w:cstheme="minorHAnsi"/>
          <w:color w:val="171717" w:themeColor="background2" w:themeShade="1A"/>
          <w:sz w:val="22"/>
          <w:szCs w:val="22"/>
        </w:rPr>
      </w:pPr>
    </w:p>
    <w:p w14:paraId="688E9DF4" w14:textId="153F65E7" w:rsidR="00F77E02" w:rsidRDefault="00F77E02" w:rsidP="00F77E02">
      <w:pPr>
        <w:pStyle w:val="Default"/>
        <w:jc w:val="both"/>
        <w:rPr>
          <w:rFonts w:asciiTheme="minorHAnsi" w:hAnsiTheme="minorHAnsi" w:cstheme="minorHAnsi"/>
          <w:color w:val="171717" w:themeColor="background2" w:themeShade="1A"/>
          <w:sz w:val="22"/>
          <w:szCs w:val="22"/>
        </w:rPr>
      </w:pPr>
      <w:r w:rsidRPr="00722DDC">
        <w:rPr>
          <w:rFonts w:asciiTheme="minorHAnsi" w:hAnsiTheme="minorHAnsi" w:cstheme="minorHAnsi"/>
          <w:color w:val="171717" w:themeColor="background2" w:themeShade="1A"/>
          <w:sz w:val="22"/>
          <w:szCs w:val="22"/>
        </w:rPr>
        <w:t xml:space="preserve">As competências legais da companhia lhes são exclusivas, pois apenas à </w:t>
      </w:r>
      <w:proofErr w:type="spellStart"/>
      <w:r w:rsidRPr="00722DDC">
        <w:rPr>
          <w:rFonts w:asciiTheme="minorHAnsi" w:hAnsiTheme="minorHAnsi" w:cstheme="minorHAnsi"/>
          <w:color w:val="171717" w:themeColor="background2" w:themeShade="1A"/>
          <w:sz w:val="22"/>
          <w:szCs w:val="22"/>
        </w:rPr>
        <w:t>Pré</w:t>
      </w:r>
      <w:proofErr w:type="spellEnd"/>
      <w:r w:rsidRPr="00722DDC">
        <w:rPr>
          <w:rFonts w:asciiTheme="minorHAnsi" w:hAnsiTheme="minorHAnsi" w:cstheme="minorHAnsi"/>
          <w:color w:val="171717" w:themeColor="background2" w:themeShade="1A"/>
          <w:sz w:val="22"/>
          <w:szCs w:val="22"/>
        </w:rPr>
        <w:t>-Sal Petróleo foram legalmente conferidas</w:t>
      </w:r>
      <w:r>
        <w:rPr>
          <w:rFonts w:asciiTheme="minorHAnsi" w:hAnsiTheme="minorHAnsi" w:cstheme="minorHAnsi"/>
          <w:color w:val="171717" w:themeColor="background2" w:themeShade="1A"/>
          <w:sz w:val="22"/>
          <w:szCs w:val="22"/>
        </w:rPr>
        <w:t>,</w:t>
      </w:r>
      <w:r w:rsidRPr="00722DDC">
        <w:rPr>
          <w:rFonts w:asciiTheme="minorHAnsi" w:hAnsiTheme="minorHAnsi" w:cstheme="minorHAnsi"/>
          <w:color w:val="171717" w:themeColor="background2" w:themeShade="1A"/>
          <w:sz w:val="22"/>
          <w:szCs w:val="22"/>
        </w:rPr>
        <w:t xml:space="preserve"> e imprescindíveis</w:t>
      </w:r>
      <w:r>
        <w:rPr>
          <w:rFonts w:asciiTheme="minorHAnsi" w:hAnsiTheme="minorHAnsi" w:cstheme="minorHAnsi"/>
          <w:color w:val="171717" w:themeColor="background2" w:themeShade="1A"/>
          <w:sz w:val="22"/>
          <w:szCs w:val="22"/>
        </w:rPr>
        <w:t xml:space="preserve">, </w:t>
      </w:r>
      <w:r w:rsidRPr="00722DDC">
        <w:rPr>
          <w:rFonts w:asciiTheme="minorHAnsi" w:hAnsiTheme="minorHAnsi" w:cstheme="minorHAnsi"/>
          <w:color w:val="171717" w:themeColor="background2" w:themeShade="1A"/>
          <w:sz w:val="22"/>
          <w:szCs w:val="22"/>
        </w:rPr>
        <w:t xml:space="preserve">porque sua não execução pela </w:t>
      </w:r>
      <w:r>
        <w:rPr>
          <w:rFonts w:asciiTheme="minorHAnsi" w:hAnsiTheme="minorHAnsi" w:cstheme="minorHAnsi"/>
          <w:color w:val="171717" w:themeColor="background2" w:themeShade="1A"/>
          <w:sz w:val="22"/>
          <w:szCs w:val="22"/>
        </w:rPr>
        <w:t>PPSA</w:t>
      </w:r>
      <w:r w:rsidRPr="00722DDC">
        <w:rPr>
          <w:rFonts w:asciiTheme="minorHAnsi" w:hAnsiTheme="minorHAnsi" w:cstheme="minorHAnsi"/>
          <w:color w:val="171717" w:themeColor="background2" w:themeShade="1A"/>
          <w:sz w:val="22"/>
          <w:szCs w:val="22"/>
        </w:rPr>
        <w:t xml:space="preserve"> inviabiliza o regime de partilha de produção no Brasil, não apenas pela ausência da empresa encarregada de gerir os </w:t>
      </w:r>
      <w:proofErr w:type="spellStart"/>
      <w:r w:rsidRPr="00722DDC">
        <w:rPr>
          <w:rFonts w:asciiTheme="minorHAnsi" w:hAnsiTheme="minorHAnsi" w:cstheme="minorHAnsi"/>
          <w:color w:val="171717" w:themeColor="background2" w:themeShade="1A"/>
          <w:sz w:val="22"/>
          <w:szCs w:val="22"/>
        </w:rPr>
        <w:t>CPPs</w:t>
      </w:r>
      <w:proofErr w:type="spellEnd"/>
      <w:r w:rsidRPr="00722DDC">
        <w:rPr>
          <w:rFonts w:asciiTheme="minorHAnsi" w:hAnsiTheme="minorHAnsi" w:cstheme="minorHAnsi"/>
          <w:color w:val="171717" w:themeColor="background2" w:themeShade="1A"/>
          <w:sz w:val="22"/>
          <w:szCs w:val="22"/>
        </w:rPr>
        <w:t xml:space="preserve">, como também pela impossibilidade de </w:t>
      </w:r>
      <w:r w:rsidRPr="006623DC">
        <w:rPr>
          <w:rFonts w:asciiTheme="minorHAnsi" w:hAnsiTheme="minorHAnsi" w:cstheme="minorHAnsi"/>
          <w:color w:val="171717" w:themeColor="background2" w:themeShade="1A"/>
          <w:sz w:val="22"/>
          <w:szCs w:val="22"/>
        </w:rPr>
        <w:t xml:space="preserve">comercializar os hidrocarbonetos a que faz jus </w:t>
      </w:r>
      <w:r>
        <w:rPr>
          <w:rFonts w:asciiTheme="minorHAnsi" w:hAnsiTheme="minorHAnsi" w:cstheme="minorHAnsi"/>
          <w:color w:val="171717" w:themeColor="background2" w:themeShade="1A"/>
          <w:sz w:val="22"/>
          <w:szCs w:val="22"/>
        </w:rPr>
        <w:t>a</w:t>
      </w:r>
      <w:r w:rsidRPr="00C00AE5">
        <w:rPr>
          <w:rFonts w:asciiTheme="minorHAnsi" w:hAnsiTheme="minorHAnsi" w:cstheme="minorHAnsi"/>
          <w:color w:val="171717" w:themeColor="background2" w:themeShade="1A"/>
          <w:sz w:val="22"/>
          <w:szCs w:val="22"/>
        </w:rPr>
        <w:t xml:space="preserve"> União em consequência da partilha da produção e dos acordos de individualização da produção.</w:t>
      </w:r>
      <w:r>
        <w:rPr>
          <w:rFonts w:asciiTheme="minorHAnsi" w:hAnsiTheme="minorHAnsi" w:cstheme="minorHAnsi"/>
          <w:color w:val="171717" w:themeColor="background2" w:themeShade="1A"/>
          <w:sz w:val="22"/>
          <w:szCs w:val="22"/>
        </w:rPr>
        <w:t xml:space="preserve"> </w:t>
      </w:r>
    </w:p>
    <w:p w14:paraId="3C350864" w14:textId="77777777" w:rsidR="00EE0CF5" w:rsidRPr="00722DDC" w:rsidRDefault="00EE0CF5" w:rsidP="00F77E02">
      <w:pPr>
        <w:pStyle w:val="Default"/>
        <w:jc w:val="both"/>
        <w:rPr>
          <w:rFonts w:asciiTheme="minorHAnsi" w:hAnsiTheme="minorHAnsi" w:cstheme="minorHAnsi"/>
          <w:color w:val="171717" w:themeColor="background2" w:themeShade="1A"/>
          <w:sz w:val="22"/>
          <w:szCs w:val="22"/>
        </w:rPr>
      </w:pPr>
    </w:p>
    <w:p w14:paraId="7395ECF6" w14:textId="4C847BDF" w:rsidR="00A91068" w:rsidRPr="00722DDC" w:rsidRDefault="00A91068" w:rsidP="00722DDC">
      <w:pPr>
        <w:spacing w:after="300" w:line="240" w:lineRule="auto"/>
        <w:jc w:val="both"/>
        <w:rPr>
          <w:rFonts w:eastAsia="Times New Roman" w:cstheme="minorHAnsi"/>
          <w:color w:val="171717" w:themeColor="background2" w:themeShade="1A"/>
          <w:lang w:eastAsia="pt-BR"/>
        </w:rPr>
      </w:pPr>
      <w:r w:rsidRPr="00722DDC">
        <w:rPr>
          <w:rFonts w:cstheme="minorHAnsi"/>
          <w:color w:val="171717" w:themeColor="background2" w:themeShade="1A"/>
        </w:rPr>
        <w:t>No cumprimento de seu dever e no atendimento ao interesse público</w:t>
      </w:r>
      <w:r w:rsidRPr="00722DDC">
        <w:rPr>
          <w:rFonts w:eastAsia="Times New Roman" w:cstheme="minorHAnsi"/>
          <w:color w:val="171717" w:themeColor="background2" w:themeShade="1A"/>
          <w:lang w:eastAsia="pt-BR"/>
        </w:rPr>
        <w:t xml:space="preserve">, como gestora dos contratos, a </w:t>
      </w:r>
      <w:proofErr w:type="spellStart"/>
      <w:r w:rsidR="008D0DE1">
        <w:rPr>
          <w:rFonts w:eastAsia="Times New Roman" w:cstheme="minorHAnsi"/>
          <w:color w:val="171717" w:themeColor="background2" w:themeShade="1A"/>
          <w:lang w:eastAsia="pt-BR"/>
        </w:rPr>
        <w:t>Pré</w:t>
      </w:r>
      <w:proofErr w:type="spellEnd"/>
      <w:r w:rsidR="008D0DE1">
        <w:rPr>
          <w:rFonts w:eastAsia="Times New Roman" w:cstheme="minorHAnsi"/>
          <w:color w:val="171717" w:themeColor="background2" w:themeShade="1A"/>
          <w:lang w:eastAsia="pt-BR"/>
        </w:rPr>
        <w:t>-Sal Petróleo</w:t>
      </w:r>
      <w:r w:rsidRPr="00722DDC">
        <w:rPr>
          <w:rFonts w:eastAsia="Times New Roman" w:cstheme="minorHAnsi"/>
          <w:color w:val="171717" w:themeColor="background2" w:themeShade="1A"/>
          <w:lang w:eastAsia="pt-BR"/>
        </w:rPr>
        <w:t xml:space="preserve"> deve assegurar recuperações eficientes dos recursos petrolíferos e garantir os maiores excedentes possíveis a serem repartidos entre a União e os contratados.</w:t>
      </w:r>
    </w:p>
    <w:p w14:paraId="59B09393" w14:textId="3BCF1E1F" w:rsidR="00A91068" w:rsidRPr="00722DDC" w:rsidRDefault="00A91068" w:rsidP="00722DDC">
      <w:pPr>
        <w:shd w:val="clear" w:color="auto" w:fill="FFFFFF"/>
        <w:spacing w:after="300" w:line="330" w:lineRule="atLeast"/>
        <w:jc w:val="both"/>
        <w:rPr>
          <w:rFonts w:eastAsia="Times New Roman" w:cstheme="minorHAnsi"/>
          <w:color w:val="171717" w:themeColor="background2" w:themeShade="1A"/>
          <w:lang w:eastAsia="pt-BR"/>
        </w:rPr>
      </w:pPr>
      <w:r w:rsidRPr="00722DDC">
        <w:rPr>
          <w:rFonts w:eastAsia="Times New Roman" w:cstheme="minorHAnsi"/>
          <w:color w:val="171717" w:themeColor="background2" w:themeShade="1A"/>
          <w:lang w:eastAsia="pt-BR"/>
        </w:rPr>
        <w:t>De forma estratégica, a empresa deve:</w:t>
      </w:r>
    </w:p>
    <w:p w14:paraId="1999E330" w14:textId="1E08FFB5" w:rsidR="00F77E02" w:rsidRPr="00722DDC" w:rsidRDefault="00F77E02" w:rsidP="00F77E02">
      <w:pPr>
        <w:numPr>
          <w:ilvl w:val="0"/>
          <w:numId w:val="6"/>
        </w:numPr>
        <w:shd w:val="clear" w:color="auto" w:fill="FFFFFF"/>
        <w:spacing w:before="100" w:beforeAutospacing="1" w:after="100" w:afterAutospacing="1" w:line="240" w:lineRule="auto"/>
        <w:jc w:val="both"/>
        <w:rPr>
          <w:rFonts w:eastAsia="Times New Roman" w:cstheme="minorHAnsi"/>
          <w:color w:val="171717" w:themeColor="background2" w:themeShade="1A"/>
          <w:lang w:eastAsia="pt-BR"/>
        </w:rPr>
      </w:pPr>
      <w:r w:rsidRPr="00722DDC">
        <w:rPr>
          <w:rFonts w:eastAsia="Times New Roman" w:cstheme="minorHAnsi"/>
          <w:color w:val="171717" w:themeColor="background2" w:themeShade="1A"/>
          <w:lang w:eastAsia="pt-BR"/>
        </w:rPr>
        <w:t>Buscar a maximização dos resultados econômicos dos contratos de partilha da produção e d</w:t>
      </w:r>
      <w:r>
        <w:rPr>
          <w:rFonts w:eastAsia="Times New Roman" w:cstheme="minorHAnsi"/>
          <w:color w:val="171717" w:themeColor="background2" w:themeShade="1A"/>
          <w:lang w:eastAsia="pt-BR"/>
        </w:rPr>
        <w:t>os contratos d</w:t>
      </w:r>
      <w:r w:rsidRPr="00722DDC">
        <w:rPr>
          <w:rFonts w:eastAsia="Times New Roman" w:cstheme="minorHAnsi"/>
          <w:color w:val="171717" w:themeColor="background2" w:themeShade="1A"/>
          <w:lang w:eastAsia="pt-BR"/>
        </w:rPr>
        <w:t>e comercialização de petróleo e gás natural da União;</w:t>
      </w:r>
    </w:p>
    <w:p w14:paraId="3FAD58FE" w14:textId="319578F3" w:rsidR="00F77E02" w:rsidRPr="00722DDC" w:rsidRDefault="00F77E02" w:rsidP="00F77E02">
      <w:pPr>
        <w:numPr>
          <w:ilvl w:val="0"/>
          <w:numId w:val="6"/>
        </w:numPr>
        <w:shd w:val="clear" w:color="auto" w:fill="FFFFFF"/>
        <w:spacing w:before="100" w:beforeAutospacing="1" w:after="100" w:afterAutospacing="1" w:line="240" w:lineRule="auto"/>
        <w:jc w:val="both"/>
        <w:rPr>
          <w:rFonts w:eastAsia="Times New Roman" w:cstheme="minorHAnsi"/>
          <w:color w:val="171717" w:themeColor="background2" w:themeShade="1A"/>
          <w:lang w:eastAsia="pt-BR"/>
        </w:rPr>
      </w:pPr>
      <w:r w:rsidRPr="00722DDC">
        <w:rPr>
          <w:rFonts w:eastAsia="Times New Roman" w:cstheme="minorHAnsi"/>
          <w:color w:val="171717" w:themeColor="background2" w:themeShade="1A"/>
          <w:lang w:eastAsia="pt-BR"/>
        </w:rPr>
        <w:t xml:space="preserve">Zelar para que os empreendimentos do </w:t>
      </w:r>
      <w:proofErr w:type="spellStart"/>
      <w:r w:rsidRPr="00722DDC">
        <w:rPr>
          <w:rFonts w:eastAsia="Times New Roman" w:cstheme="minorHAnsi"/>
          <w:color w:val="171717" w:themeColor="background2" w:themeShade="1A"/>
          <w:lang w:eastAsia="pt-BR"/>
        </w:rPr>
        <w:t>pré</w:t>
      </w:r>
      <w:proofErr w:type="spellEnd"/>
      <w:r w:rsidRPr="00722DDC">
        <w:rPr>
          <w:rFonts w:eastAsia="Times New Roman" w:cstheme="minorHAnsi"/>
          <w:color w:val="171717" w:themeColor="background2" w:themeShade="1A"/>
          <w:lang w:eastAsia="pt-BR"/>
        </w:rPr>
        <w:t xml:space="preserve">-sal agreguem valor a longo prazo, </w:t>
      </w:r>
      <w:r>
        <w:rPr>
          <w:rFonts w:eastAsia="Times New Roman" w:cstheme="minorHAnsi"/>
          <w:color w:val="171717" w:themeColor="background2" w:themeShade="1A"/>
          <w:lang w:eastAsia="pt-BR"/>
        </w:rPr>
        <w:t>garantindo o cumprimento dos índices de conteúdo local nos contratos (potencial efeito de</w:t>
      </w:r>
      <w:r w:rsidRPr="00722DDC">
        <w:rPr>
          <w:rFonts w:eastAsia="Times New Roman" w:cstheme="minorHAnsi"/>
          <w:color w:val="171717" w:themeColor="background2" w:themeShade="1A"/>
          <w:lang w:eastAsia="pt-BR"/>
        </w:rPr>
        <w:t xml:space="preserve"> geração de empregos e renda para o país</w:t>
      </w:r>
      <w:r>
        <w:rPr>
          <w:rFonts w:eastAsia="Times New Roman" w:cstheme="minorHAnsi"/>
          <w:color w:val="171717" w:themeColor="background2" w:themeShade="1A"/>
          <w:lang w:eastAsia="pt-BR"/>
        </w:rPr>
        <w:t>)</w:t>
      </w:r>
      <w:r w:rsidRPr="00722DDC">
        <w:rPr>
          <w:rFonts w:eastAsia="Times New Roman" w:cstheme="minorHAnsi"/>
          <w:color w:val="171717" w:themeColor="background2" w:themeShade="1A"/>
          <w:lang w:eastAsia="pt-BR"/>
        </w:rPr>
        <w:t>;</w:t>
      </w:r>
      <w:r>
        <w:rPr>
          <w:rFonts w:eastAsia="Times New Roman" w:cstheme="minorHAnsi"/>
          <w:color w:val="171717" w:themeColor="background2" w:themeShade="1A"/>
          <w:lang w:eastAsia="pt-BR"/>
        </w:rPr>
        <w:t xml:space="preserve"> e</w:t>
      </w:r>
    </w:p>
    <w:p w14:paraId="2B31A702" w14:textId="725F7AE0" w:rsidR="00A91068" w:rsidRPr="00722DDC" w:rsidRDefault="00A91068" w:rsidP="00722DDC">
      <w:pPr>
        <w:numPr>
          <w:ilvl w:val="0"/>
          <w:numId w:val="6"/>
        </w:numPr>
        <w:shd w:val="clear" w:color="auto" w:fill="FFFFFF"/>
        <w:spacing w:before="100" w:beforeAutospacing="1" w:after="100" w:afterAutospacing="1" w:line="240" w:lineRule="auto"/>
        <w:jc w:val="both"/>
        <w:rPr>
          <w:rFonts w:eastAsia="Times New Roman" w:cstheme="minorHAnsi"/>
          <w:color w:val="171717" w:themeColor="background2" w:themeShade="1A"/>
          <w:lang w:eastAsia="pt-BR"/>
        </w:rPr>
      </w:pPr>
      <w:r w:rsidRPr="00722DDC">
        <w:rPr>
          <w:rFonts w:eastAsia="Times New Roman" w:cstheme="minorHAnsi"/>
          <w:color w:val="171717" w:themeColor="background2" w:themeShade="1A"/>
          <w:lang w:eastAsia="pt-BR"/>
        </w:rPr>
        <w:t>Representar a União nos procedimentos de individualização da produção e nos acordos deles decorrentes.</w:t>
      </w:r>
    </w:p>
    <w:p w14:paraId="36657569" w14:textId="1E8DC2B8" w:rsidR="00A91068" w:rsidRPr="00722DDC" w:rsidRDefault="0036307B" w:rsidP="00722DDC">
      <w:pPr>
        <w:shd w:val="clear" w:color="auto" w:fill="FFFFFF"/>
        <w:spacing w:before="100" w:beforeAutospacing="1" w:after="100" w:afterAutospacing="1" w:line="240" w:lineRule="auto"/>
        <w:jc w:val="both"/>
        <w:rPr>
          <w:rFonts w:eastAsia="Times New Roman" w:cstheme="minorHAnsi"/>
          <w:color w:val="171717" w:themeColor="background2" w:themeShade="1A"/>
          <w:lang w:eastAsia="pt-BR"/>
        </w:rPr>
      </w:pPr>
      <w:r w:rsidRPr="00722DDC">
        <w:rPr>
          <w:rFonts w:eastAsia="Times New Roman" w:cstheme="minorHAnsi"/>
          <w:color w:val="171717" w:themeColor="background2" w:themeShade="1A"/>
          <w:lang w:eastAsia="pt-BR"/>
        </w:rPr>
        <w:t xml:space="preserve">A </w:t>
      </w:r>
      <w:r w:rsidR="00A91068" w:rsidRPr="00722DDC">
        <w:rPr>
          <w:rFonts w:eastAsia="Times New Roman" w:cstheme="minorHAnsi"/>
          <w:color w:val="171717" w:themeColor="background2" w:themeShade="1A"/>
          <w:lang w:eastAsia="pt-BR"/>
        </w:rPr>
        <w:t>ilustração abaixo demonstra as frentes de atuação da companhia e seus direcionadores estratégicos:</w:t>
      </w:r>
    </w:p>
    <w:p w14:paraId="3F73BF32" w14:textId="77777777" w:rsidR="004B2817" w:rsidRPr="00722DDC" w:rsidRDefault="004B2817" w:rsidP="00722DDC">
      <w:pPr>
        <w:shd w:val="clear" w:color="auto" w:fill="FFFFFF"/>
        <w:spacing w:before="100" w:beforeAutospacing="1" w:after="100" w:afterAutospacing="1" w:line="240" w:lineRule="auto"/>
        <w:jc w:val="both"/>
        <w:rPr>
          <w:rFonts w:eastAsia="Times New Roman" w:cstheme="minorHAnsi"/>
          <w:color w:val="171717" w:themeColor="background2" w:themeShade="1A"/>
          <w:lang w:eastAsia="pt-BR"/>
        </w:rPr>
      </w:pPr>
    </w:p>
    <w:p w14:paraId="5C5FBCA1" w14:textId="303ED36C" w:rsidR="00C02998" w:rsidRDefault="00C02998" w:rsidP="00722DDC">
      <w:pPr>
        <w:pStyle w:val="Default"/>
        <w:jc w:val="both"/>
        <w:rPr>
          <w:rFonts w:asciiTheme="minorHAnsi" w:hAnsiTheme="minorHAnsi" w:cstheme="minorHAnsi"/>
          <w:color w:val="171717" w:themeColor="background2" w:themeShade="1A"/>
          <w:sz w:val="22"/>
          <w:szCs w:val="22"/>
        </w:rPr>
      </w:pPr>
    </w:p>
    <w:p w14:paraId="74F30665" w14:textId="1D642E07" w:rsidR="00EE0CF5" w:rsidRDefault="00EE0CF5" w:rsidP="00722DDC">
      <w:pPr>
        <w:pStyle w:val="Default"/>
        <w:jc w:val="both"/>
        <w:rPr>
          <w:rFonts w:asciiTheme="minorHAnsi" w:hAnsiTheme="minorHAnsi" w:cstheme="minorHAnsi"/>
          <w:color w:val="171717" w:themeColor="background2" w:themeShade="1A"/>
          <w:sz w:val="22"/>
          <w:szCs w:val="22"/>
        </w:rPr>
      </w:pPr>
    </w:p>
    <w:p w14:paraId="27468ED2" w14:textId="6C8C24D0" w:rsidR="004B4BA4" w:rsidRDefault="004B4BA4" w:rsidP="00722DDC">
      <w:pPr>
        <w:pStyle w:val="Default"/>
        <w:jc w:val="both"/>
        <w:rPr>
          <w:rFonts w:asciiTheme="minorHAnsi" w:hAnsiTheme="minorHAnsi" w:cstheme="minorHAnsi"/>
          <w:color w:val="171717" w:themeColor="background2" w:themeShade="1A"/>
          <w:sz w:val="22"/>
          <w:szCs w:val="22"/>
        </w:rPr>
      </w:pPr>
    </w:p>
    <w:p w14:paraId="51339F33" w14:textId="0D974757" w:rsidR="00FD2A25" w:rsidRPr="004B4BA4" w:rsidRDefault="004B4BA4" w:rsidP="00104C10">
      <w:pPr>
        <w:pStyle w:val="Default"/>
        <w:ind w:hanging="284"/>
        <w:jc w:val="both"/>
        <w:rPr>
          <w:rFonts w:asciiTheme="minorHAnsi" w:hAnsiTheme="minorHAnsi" w:cstheme="minorHAnsi"/>
          <w:color w:val="171717" w:themeColor="background2" w:themeShade="1A"/>
          <w:sz w:val="22"/>
          <w:szCs w:val="22"/>
        </w:rPr>
      </w:pPr>
      <w:r w:rsidRPr="004B4BA4">
        <w:rPr>
          <w:noProof/>
        </w:rPr>
        <w:lastRenderedPageBreak/>
        <w:drawing>
          <wp:inline distT="0" distB="0" distL="0" distR="0" wp14:anchorId="61841666" wp14:editId="42329F94">
            <wp:extent cx="5958673" cy="4210469"/>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2890" cy="4255846"/>
                    </a:xfrm>
                    <a:prstGeom prst="rect">
                      <a:avLst/>
                    </a:prstGeom>
                  </pic:spPr>
                </pic:pic>
              </a:graphicData>
            </a:graphic>
          </wp:inline>
        </w:drawing>
      </w:r>
      <w:r w:rsidR="00FD2A25" w:rsidRPr="00722DDC">
        <w:rPr>
          <w:rFonts w:cstheme="minorHAnsi"/>
        </w:rPr>
        <w:t>Como gestora dos contratos de partilha de produção, a companhia contribui tecnicamente e aprova a execução dos projetos nas fases de exploração, avaliação, desenvolvimento</w:t>
      </w:r>
      <w:r w:rsidR="001702B5">
        <w:rPr>
          <w:rFonts w:cstheme="minorHAnsi"/>
        </w:rPr>
        <w:t xml:space="preserve"> da produção</w:t>
      </w:r>
      <w:r w:rsidR="00FD2A25" w:rsidRPr="00722DDC">
        <w:rPr>
          <w:rFonts w:cstheme="minorHAnsi"/>
        </w:rPr>
        <w:t xml:space="preserve"> e produção, bem como preside o </w:t>
      </w:r>
      <w:r w:rsidR="006623DC">
        <w:rPr>
          <w:rFonts w:cstheme="minorHAnsi"/>
        </w:rPr>
        <w:t>C</w:t>
      </w:r>
      <w:r w:rsidR="00FD2A25" w:rsidRPr="00722DDC">
        <w:rPr>
          <w:rFonts w:cstheme="minorHAnsi"/>
        </w:rPr>
        <w:t xml:space="preserve">omitê </w:t>
      </w:r>
      <w:r w:rsidR="006623DC">
        <w:rPr>
          <w:rFonts w:cstheme="minorHAnsi"/>
        </w:rPr>
        <w:t>O</w:t>
      </w:r>
      <w:r w:rsidR="00FD2A25" w:rsidRPr="00722DDC">
        <w:rPr>
          <w:rFonts w:cstheme="minorHAnsi"/>
        </w:rPr>
        <w:t xml:space="preserve">peracional dos diversos consórcios. A atividade compreende também monitorar, aprovar e auditar os gastos com custeio e investimento passíveis de recuperação pelos contratados, via a quantidade de petróleo produzido. Também </w:t>
      </w:r>
      <w:r w:rsidR="006623DC">
        <w:rPr>
          <w:rFonts w:cstheme="minorHAnsi"/>
        </w:rPr>
        <w:t>é de responsabilidade da empresa</w:t>
      </w:r>
      <w:r w:rsidR="00FD2A25" w:rsidRPr="00722DDC">
        <w:rPr>
          <w:rFonts w:cstheme="minorHAnsi"/>
        </w:rPr>
        <w:t xml:space="preserve"> verificar o cumprimento do conteúdo nacional no desenvolvimento das jazidas petrolíferas do Polígono do </w:t>
      </w:r>
      <w:proofErr w:type="spellStart"/>
      <w:r w:rsidR="00FD2A25" w:rsidRPr="00722DDC">
        <w:rPr>
          <w:rFonts w:cstheme="minorHAnsi"/>
        </w:rPr>
        <w:t>Pré</w:t>
      </w:r>
      <w:proofErr w:type="spellEnd"/>
      <w:r w:rsidR="00FD2A25" w:rsidRPr="00722DDC">
        <w:rPr>
          <w:rFonts w:cstheme="minorHAnsi"/>
        </w:rPr>
        <w:t xml:space="preserve">-Sal e prestar as informações necessárias para que a </w:t>
      </w:r>
      <w:r w:rsidR="00C024CF" w:rsidRPr="00C00AE5">
        <w:rPr>
          <w:rFonts w:cs="Arial"/>
          <w:shd w:val="clear" w:color="auto" w:fill="FFFFFF"/>
        </w:rPr>
        <w:t>Agência Nacional do Petróleo, Gás Natural e Biocombustíveis</w:t>
      </w:r>
      <w:r w:rsidR="00C024CF" w:rsidRPr="00722DDC">
        <w:rPr>
          <w:rFonts w:cstheme="minorHAnsi"/>
        </w:rPr>
        <w:t xml:space="preserve"> </w:t>
      </w:r>
      <w:r w:rsidR="00C024CF">
        <w:rPr>
          <w:rFonts w:cstheme="minorHAnsi"/>
        </w:rPr>
        <w:t>(</w:t>
      </w:r>
      <w:r w:rsidR="00FD2A25" w:rsidRPr="00722DDC">
        <w:rPr>
          <w:rFonts w:cstheme="minorHAnsi"/>
        </w:rPr>
        <w:t>ANP</w:t>
      </w:r>
      <w:r w:rsidR="00C024CF">
        <w:rPr>
          <w:rFonts w:cstheme="minorHAnsi"/>
        </w:rPr>
        <w:t>)</w:t>
      </w:r>
      <w:r w:rsidR="00FD2A25" w:rsidRPr="00722DDC">
        <w:rPr>
          <w:rFonts w:cstheme="minorHAnsi"/>
        </w:rPr>
        <w:t xml:space="preserve"> exerça suas funções regulatórias.</w:t>
      </w:r>
    </w:p>
    <w:p w14:paraId="1812630F" w14:textId="77777777" w:rsidR="009D4BC7" w:rsidRDefault="009D4BC7" w:rsidP="00722DDC">
      <w:pPr>
        <w:spacing w:line="276" w:lineRule="auto"/>
        <w:jc w:val="both"/>
        <w:rPr>
          <w:rFonts w:cstheme="minorHAnsi"/>
          <w:color w:val="008192"/>
        </w:rPr>
      </w:pPr>
    </w:p>
    <w:p w14:paraId="33D20ABD" w14:textId="6C8A7E0B" w:rsidR="00131030" w:rsidRPr="00722DDC" w:rsidRDefault="00131030" w:rsidP="00722DDC">
      <w:pPr>
        <w:spacing w:line="276" w:lineRule="auto"/>
        <w:jc w:val="both"/>
        <w:rPr>
          <w:rFonts w:cstheme="minorHAnsi"/>
          <w:color w:val="008192"/>
        </w:rPr>
      </w:pPr>
      <w:r w:rsidRPr="00722DDC">
        <w:rPr>
          <w:rFonts w:cstheme="minorHAnsi"/>
          <w:color w:val="008192"/>
        </w:rPr>
        <w:t>Leilão d</w:t>
      </w:r>
      <w:r w:rsidR="006623DC">
        <w:rPr>
          <w:rFonts w:cstheme="minorHAnsi"/>
          <w:color w:val="008192"/>
        </w:rPr>
        <w:t>os</w:t>
      </w:r>
      <w:r w:rsidRPr="00722DDC">
        <w:rPr>
          <w:rFonts w:cstheme="minorHAnsi"/>
          <w:color w:val="008192"/>
        </w:rPr>
        <w:t xml:space="preserve"> Excedentes da Cessão Onerosa </w:t>
      </w:r>
    </w:p>
    <w:p w14:paraId="3FC078F1" w14:textId="69AD4758" w:rsidR="00131030" w:rsidRPr="00722DDC" w:rsidRDefault="00131030" w:rsidP="00722DDC">
      <w:pPr>
        <w:spacing w:line="276" w:lineRule="auto"/>
        <w:jc w:val="both"/>
        <w:rPr>
          <w:rFonts w:cstheme="minorHAnsi"/>
        </w:rPr>
      </w:pPr>
      <w:bookmarkStart w:id="0" w:name="_Hlk48918218"/>
      <w:bookmarkStart w:id="1" w:name="_Hlk48917725"/>
      <w:r w:rsidRPr="00722DDC">
        <w:rPr>
          <w:rFonts w:cstheme="minorHAnsi"/>
        </w:rPr>
        <w:t xml:space="preserve">O ano de 2019 foi marcado pela realização do </w:t>
      </w:r>
      <w:r w:rsidR="00C024CF">
        <w:rPr>
          <w:rFonts w:cstheme="minorHAnsi"/>
        </w:rPr>
        <w:t>L</w:t>
      </w:r>
      <w:r w:rsidRPr="00722DDC">
        <w:rPr>
          <w:rFonts w:cstheme="minorHAnsi"/>
        </w:rPr>
        <w:t>eilão d</w:t>
      </w:r>
      <w:r w:rsidR="006623DC">
        <w:rPr>
          <w:rFonts w:cstheme="minorHAnsi"/>
        </w:rPr>
        <w:t>os</w:t>
      </w:r>
      <w:r w:rsidRPr="00722DDC">
        <w:rPr>
          <w:rFonts w:cstheme="minorHAnsi"/>
        </w:rPr>
        <w:t xml:space="preserve"> </w:t>
      </w:r>
      <w:r w:rsidR="00C024CF">
        <w:rPr>
          <w:rFonts w:cstheme="minorHAnsi"/>
        </w:rPr>
        <w:t>E</w:t>
      </w:r>
      <w:r w:rsidRPr="00722DDC">
        <w:rPr>
          <w:rFonts w:cstheme="minorHAnsi"/>
        </w:rPr>
        <w:t>xcedente</w:t>
      </w:r>
      <w:r w:rsidR="00C024CF">
        <w:rPr>
          <w:rFonts w:cstheme="minorHAnsi"/>
        </w:rPr>
        <w:t>s</w:t>
      </w:r>
      <w:r w:rsidRPr="00722DDC">
        <w:rPr>
          <w:rFonts w:cstheme="minorHAnsi"/>
        </w:rPr>
        <w:t xml:space="preserve"> da Cessão Onerosa</w:t>
      </w:r>
      <w:bookmarkEnd w:id="0"/>
      <w:r w:rsidRPr="00722DDC">
        <w:rPr>
          <w:rFonts w:cstheme="minorHAnsi"/>
        </w:rPr>
        <w:t xml:space="preserve">, que exigiu esforços do Governo para que fossem superadas etapas que incluíram uma negociação entre Petrobras e União, além </w:t>
      </w:r>
      <w:r w:rsidR="00C024CF">
        <w:rPr>
          <w:rFonts w:cstheme="minorHAnsi"/>
        </w:rPr>
        <w:t xml:space="preserve">de </w:t>
      </w:r>
      <w:r w:rsidRPr="00722DDC">
        <w:rPr>
          <w:rFonts w:cstheme="minorHAnsi"/>
        </w:rPr>
        <w:t xml:space="preserve">medidas regulatórias e legais – incluindo a aprovação de uma </w:t>
      </w:r>
      <w:r w:rsidR="00C024CF">
        <w:rPr>
          <w:rFonts w:cstheme="minorHAnsi"/>
        </w:rPr>
        <w:t>e</w:t>
      </w:r>
      <w:r w:rsidRPr="00722DDC">
        <w:rPr>
          <w:rFonts w:cstheme="minorHAnsi"/>
        </w:rPr>
        <w:t xml:space="preserve">menda </w:t>
      </w:r>
      <w:r w:rsidR="00C024CF">
        <w:rPr>
          <w:rFonts w:cstheme="minorHAnsi"/>
        </w:rPr>
        <w:t>c</w:t>
      </w:r>
      <w:r w:rsidRPr="00722DDC">
        <w:rPr>
          <w:rFonts w:cstheme="minorHAnsi"/>
        </w:rPr>
        <w:t xml:space="preserve">onstitucional e duas leis no Congresso Nacional. Visando </w:t>
      </w:r>
      <w:r w:rsidR="00C024CF">
        <w:rPr>
          <w:rFonts w:cstheme="minorHAnsi"/>
        </w:rPr>
        <w:t>a</w:t>
      </w:r>
      <w:r w:rsidRPr="00722DDC">
        <w:rPr>
          <w:rFonts w:cstheme="minorHAnsi"/>
        </w:rPr>
        <w:t xml:space="preserve">o interesse público, em 2019, a </w:t>
      </w:r>
      <w:proofErr w:type="spellStart"/>
      <w:r w:rsidRPr="00722DDC">
        <w:rPr>
          <w:rFonts w:cstheme="minorHAnsi"/>
        </w:rPr>
        <w:t>Pré</w:t>
      </w:r>
      <w:proofErr w:type="spellEnd"/>
      <w:r w:rsidRPr="00722DDC">
        <w:rPr>
          <w:rFonts w:cstheme="minorHAnsi"/>
        </w:rPr>
        <w:t xml:space="preserve">-Sal Petróleo teve participação fundamental para a construção de um ambiente regulatório favorável à realização do certame. </w:t>
      </w:r>
    </w:p>
    <w:p w14:paraId="5D60218F" w14:textId="77777777" w:rsidR="00BC3E13" w:rsidRDefault="00F51469">
      <w:pPr>
        <w:spacing w:line="276" w:lineRule="auto"/>
        <w:jc w:val="both"/>
        <w:rPr>
          <w:rFonts w:cstheme="minorHAnsi"/>
          <w:color w:val="0D0D0D" w:themeColor="text1" w:themeTint="F2"/>
        </w:rPr>
      </w:pPr>
      <w:r w:rsidRPr="00722DDC">
        <w:rPr>
          <w:rFonts w:cstheme="minorHAnsi"/>
          <w:color w:val="0D0D0D" w:themeColor="text1" w:themeTint="F2"/>
        </w:rPr>
        <w:t xml:space="preserve">O denominado “excedente da cessão onerosa” corresponde ao volume de petróleo e de gás natural que ultrapassa aquele onerosamente cedido à Petrobras como contrapartida à autorização para o exercício de atividades de pesquisa e lavra de hidrocarbonetos em áreas internas ao Polígono do </w:t>
      </w:r>
      <w:proofErr w:type="spellStart"/>
      <w:r w:rsidRPr="00722DDC">
        <w:rPr>
          <w:rFonts w:cstheme="minorHAnsi"/>
          <w:color w:val="0D0D0D" w:themeColor="text1" w:themeTint="F2"/>
        </w:rPr>
        <w:t>Pré</w:t>
      </w:r>
      <w:proofErr w:type="spellEnd"/>
      <w:r w:rsidRPr="00722DDC">
        <w:rPr>
          <w:rFonts w:cstheme="minorHAnsi"/>
          <w:color w:val="0D0D0D" w:themeColor="text1" w:themeTint="F2"/>
        </w:rPr>
        <w:t>-Sal; e ao pagamento, em títulos da Dívida Pública Mobiliária Federal, do valor contratualmente previsto.</w:t>
      </w:r>
      <w:r w:rsidR="00C024CF">
        <w:rPr>
          <w:rFonts w:cstheme="minorHAnsi"/>
          <w:color w:val="0D0D0D" w:themeColor="text1" w:themeTint="F2"/>
        </w:rPr>
        <w:t xml:space="preserve"> </w:t>
      </w:r>
    </w:p>
    <w:p w14:paraId="6B3C3561" w14:textId="7E56A761" w:rsidR="00F51469" w:rsidRPr="00722DDC" w:rsidRDefault="00F51469">
      <w:pPr>
        <w:spacing w:line="276" w:lineRule="auto"/>
        <w:jc w:val="both"/>
        <w:rPr>
          <w:rFonts w:cstheme="minorHAnsi"/>
          <w:color w:val="0D0D0D" w:themeColor="text1" w:themeTint="F2"/>
        </w:rPr>
      </w:pPr>
      <w:r w:rsidRPr="00722DDC">
        <w:rPr>
          <w:rFonts w:cstheme="minorHAnsi"/>
          <w:color w:val="0D0D0D" w:themeColor="text1" w:themeTint="F2"/>
        </w:rPr>
        <w:lastRenderedPageBreak/>
        <w:t xml:space="preserve">Em 2019, foram publicadas as resoluções CNPE nº 02/2019, que estabeleceu as diretrizes para a realização da licitação dos volumes excedentes da cessão onerosa, em regime de partilha de produção; e a de número 06/2019, alterada pela Resolução nº 13, </w:t>
      </w:r>
      <w:r w:rsidRPr="006623DC">
        <w:rPr>
          <w:rFonts w:cstheme="minorHAnsi"/>
          <w:color w:val="0D0D0D" w:themeColor="text1" w:themeTint="F2"/>
        </w:rPr>
        <w:t xml:space="preserve">de </w:t>
      </w:r>
      <w:r w:rsidRPr="009C262E">
        <w:rPr>
          <w:rFonts w:cstheme="minorHAnsi"/>
          <w:color w:val="0D0D0D" w:themeColor="text1" w:themeTint="F2"/>
        </w:rPr>
        <w:t>11 de junho de 2019</w:t>
      </w:r>
      <w:r w:rsidRPr="00722DDC">
        <w:rPr>
          <w:rFonts w:cstheme="minorHAnsi"/>
          <w:color w:val="0D0D0D" w:themeColor="text1" w:themeTint="F2"/>
        </w:rPr>
        <w:t>, do CNPE, que aprovou os parâmetros técnicos e econômicos da rodada de licitação, em regime de partilha de produção, dos volumes excedentes da cessão onerosa.</w:t>
      </w:r>
    </w:p>
    <w:p w14:paraId="3ABB8425" w14:textId="10AFAE8B" w:rsidR="00F51469" w:rsidRPr="00722DDC" w:rsidRDefault="00F51469">
      <w:pPr>
        <w:spacing w:line="276" w:lineRule="auto"/>
        <w:jc w:val="both"/>
        <w:rPr>
          <w:rFonts w:cstheme="minorHAnsi"/>
          <w:color w:val="0D0D0D" w:themeColor="text1" w:themeTint="F2"/>
        </w:rPr>
      </w:pPr>
      <w:r w:rsidRPr="00722DDC">
        <w:rPr>
          <w:rFonts w:cstheme="minorHAnsi"/>
          <w:color w:val="0D0D0D" w:themeColor="text1" w:themeTint="F2"/>
        </w:rPr>
        <w:t>Posteriormente, foi publicada a Portaria MME nº 213/2019, estipulando as diretrizes para o cálculo da compensação devida à Petrobras pelos investimentos realizados nos Campos de Búzios, Atapu, Itapu e Sépia, em decorrência da licitação dos volumes excedentes aos contratados, no âmbito da cessão onerosa.</w:t>
      </w:r>
      <w:r w:rsidR="001C0CB9">
        <w:rPr>
          <w:rFonts w:cstheme="minorHAnsi"/>
          <w:color w:val="0D0D0D" w:themeColor="text1" w:themeTint="F2"/>
        </w:rPr>
        <w:t xml:space="preserve"> </w:t>
      </w:r>
    </w:p>
    <w:p w14:paraId="46C95FE0" w14:textId="3EC7CC49" w:rsidR="00F51469" w:rsidRPr="00722DDC" w:rsidRDefault="00F51469" w:rsidP="00722DDC">
      <w:pPr>
        <w:spacing w:line="276" w:lineRule="auto"/>
        <w:jc w:val="both"/>
        <w:rPr>
          <w:rFonts w:cstheme="minorHAnsi"/>
          <w:color w:val="0D0D0D" w:themeColor="text1" w:themeTint="F2"/>
        </w:rPr>
      </w:pPr>
      <w:r w:rsidRPr="00722DDC">
        <w:rPr>
          <w:rFonts w:cstheme="minorHAnsi"/>
          <w:color w:val="0D0D0D" w:themeColor="text1" w:themeTint="F2"/>
        </w:rPr>
        <w:t>A</w:t>
      </w:r>
      <w:r w:rsidR="0081351D">
        <w:rPr>
          <w:rFonts w:cstheme="minorHAnsi"/>
          <w:color w:val="0D0D0D" w:themeColor="text1" w:themeTint="F2"/>
        </w:rPr>
        <w:t xml:space="preserve"> </w:t>
      </w:r>
      <w:r w:rsidRPr="00722DDC">
        <w:rPr>
          <w:rFonts w:cstheme="minorHAnsi"/>
          <w:color w:val="0D0D0D" w:themeColor="text1" w:themeTint="F2"/>
        </w:rPr>
        <w:t>PPSA participou ativamente, lado a lado com a ANP e o MME, da construção da minuta do contrato de partilha de produção dos volumes excedentes da cessão onerosa, bem como da consolidação do texto final, a partir das sugestões advindas da consulta e da audiência pública. Registra-se, igualmente, a participação da companhia na audiência pública do Leilão dos Volume Excedentes da Cessão Onerosa, com a apresentação de palestra versando sobre as peculiaridades do reconhecimento e da recuperação de gastos como custo em óleo, no novo regime.</w:t>
      </w:r>
    </w:p>
    <w:p w14:paraId="7DC234C8" w14:textId="315D2C55" w:rsidR="00F51469" w:rsidRPr="00722DDC" w:rsidRDefault="00F51469" w:rsidP="00722DDC">
      <w:pPr>
        <w:spacing w:line="276" w:lineRule="auto"/>
        <w:jc w:val="both"/>
        <w:rPr>
          <w:rFonts w:cstheme="minorHAnsi"/>
          <w:color w:val="0D0D0D" w:themeColor="text1" w:themeTint="F2"/>
        </w:rPr>
      </w:pPr>
      <w:r w:rsidRPr="00722DDC">
        <w:rPr>
          <w:rFonts w:cstheme="minorHAnsi"/>
          <w:color w:val="0D0D0D" w:themeColor="text1" w:themeTint="F2"/>
        </w:rPr>
        <w:t xml:space="preserve">A ANP realizou, em 6 de novembro, o leilão referente ao direito de exploração e produção do volume excedente da cessão onerosa. Foram oferecidas quatro áreas: Búzios, Itapu, Sépia e Atapu. Os dois primeiros blocos receberam ofertas, sendo arrematados pelo valor de R$ 69,9 bilhões. Búzios ficou com um consórcio formado entre a Petrobras (90%) e duas companhias chinesas: CNODC Brasil (5%) e CNOOC </w:t>
      </w:r>
      <w:proofErr w:type="spellStart"/>
      <w:r w:rsidRPr="00722DDC">
        <w:rPr>
          <w:rFonts w:cstheme="minorHAnsi"/>
          <w:color w:val="0D0D0D" w:themeColor="text1" w:themeTint="F2"/>
        </w:rPr>
        <w:t>Petroleum</w:t>
      </w:r>
      <w:proofErr w:type="spellEnd"/>
      <w:r w:rsidRPr="00722DDC">
        <w:rPr>
          <w:rFonts w:cstheme="minorHAnsi"/>
          <w:color w:val="0D0D0D" w:themeColor="text1" w:themeTint="F2"/>
        </w:rPr>
        <w:t xml:space="preserve"> (5%). O Campo de Itapu, por sua vez, será explorado exclusivamente pela Petrobras.</w:t>
      </w:r>
      <w:r w:rsidR="001C0CB9">
        <w:rPr>
          <w:rFonts w:cstheme="minorHAnsi"/>
          <w:color w:val="0D0D0D" w:themeColor="text1" w:themeTint="F2"/>
        </w:rPr>
        <w:t xml:space="preserve"> </w:t>
      </w:r>
      <w:r w:rsidRPr="00722DDC">
        <w:rPr>
          <w:rFonts w:cstheme="minorHAnsi"/>
          <w:color w:val="0D0D0D" w:themeColor="text1" w:themeTint="F2"/>
        </w:rPr>
        <w:t xml:space="preserve">A União, representada pela </w:t>
      </w:r>
      <w:proofErr w:type="spellStart"/>
      <w:r w:rsidRPr="00722DDC">
        <w:rPr>
          <w:rFonts w:cstheme="minorHAnsi"/>
          <w:color w:val="0D0D0D" w:themeColor="text1" w:themeTint="F2"/>
        </w:rPr>
        <w:t>Pré</w:t>
      </w:r>
      <w:proofErr w:type="spellEnd"/>
      <w:r w:rsidRPr="00722DDC">
        <w:rPr>
          <w:rFonts w:cstheme="minorHAnsi"/>
          <w:color w:val="0D0D0D" w:themeColor="text1" w:themeTint="F2"/>
        </w:rPr>
        <w:t>-Sal Petróleo, terá participação nos consórcios das duas áreas, com os percentuais de óleo lucro de 23,24%</w:t>
      </w:r>
      <w:r w:rsidR="00791FFA">
        <w:rPr>
          <w:rFonts w:cstheme="minorHAnsi"/>
          <w:color w:val="0D0D0D" w:themeColor="text1" w:themeTint="F2"/>
        </w:rPr>
        <w:t>,</w:t>
      </w:r>
      <w:r w:rsidRPr="00722DDC">
        <w:rPr>
          <w:rFonts w:cstheme="minorHAnsi"/>
          <w:color w:val="0D0D0D" w:themeColor="text1" w:themeTint="F2"/>
        </w:rPr>
        <w:t xml:space="preserve"> em Búzios; e 18,15%, em Itapu. </w:t>
      </w:r>
    </w:p>
    <w:p w14:paraId="1E6FCBDA" w14:textId="12FE8033" w:rsidR="00F51469" w:rsidRPr="0006546A" w:rsidRDefault="00F51469" w:rsidP="00722DDC">
      <w:pPr>
        <w:spacing w:line="276" w:lineRule="auto"/>
        <w:jc w:val="both"/>
        <w:rPr>
          <w:rFonts w:cstheme="minorHAnsi"/>
          <w:color w:val="000000" w:themeColor="text1"/>
        </w:rPr>
      </w:pPr>
      <w:r w:rsidRPr="0006546A">
        <w:rPr>
          <w:rFonts w:cstheme="minorHAnsi"/>
          <w:color w:val="000000" w:themeColor="text1"/>
        </w:rPr>
        <w:t>A PPSA constituiu equipes técnicas para atender às determinações do Acórdão nº 2.430/2019 – Plenário do TCU para Sépia e Atapu, com vistas à realização de um novo leilão para essas áreas que não foram arrematadas</w:t>
      </w:r>
      <w:r w:rsidR="000E5002" w:rsidRPr="0006546A">
        <w:rPr>
          <w:rFonts w:cstheme="minorHAnsi"/>
          <w:color w:val="000000" w:themeColor="text1"/>
        </w:rPr>
        <w:t xml:space="preserve"> </w:t>
      </w:r>
      <w:r w:rsidR="000E5002" w:rsidRPr="0006546A">
        <w:rPr>
          <w:rFonts w:ascii="Calibri" w:eastAsia="Times New Roman" w:hAnsi="Calibri" w:cs="Calibri"/>
          <w:color w:val="000000" w:themeColor="text1"/>
          <w:bdr w:val="none" w:sz="0" w:space="0" w:color="auto" w:frame="1"/>
          <w:shd w:val="clear" w:color="auto" w:fill="FFFFFF"/>
          <w:lang w:eastAsia="pt-BR"/>
        </w:rPr>
        <w:t xml:space="preserve">no leilão de novembro de 2019 e à Portaria 23/2020. A citada </w:t>
      </w:r>
      <w:r w:rsidR="0006546A" w:rsidRPr="0006546A">
        <w:rPr>
          <w:rFonts w:ascii="Calibri" w:eastAsia="Times New Roman" w:hAnsi="Calibri" w:cs="Calibri"/>
          <w:color w:val="000000" w:themeColor="text1"/>
          <w:bdr w:val="none" w:sz="0" w:space="0" w:color="auto" w:frame="1"/>
          <w:shd w:val="clear" w:color="auto" w:fill="FFFFFF"/>
          <w:lang w:eastAsia="pt-BR"/>
        </w:rPr>
        <w:t>portaria qualifica</w:t>
      </w:r>
      <w:r w:rsidR="000E5002" w:rsidRPr="0006546A">
        <w:rPr>
          <w:rFonts w:ascii="Calibri" w:eastAsia="Times New Roman" w:hAnsi="Calibri" w:cs="Calibri"/>
          <w:color w:val="000000" w:themeColor="text1"/>
          <w:bdr w:val="none" w:sz="0" w:space="0" w:color="auto" w:frame="1"/>
          <w:shd w:val="clear" w:color="auto" w:fill="FFFFFF"/>
          <w:lang w:eastAsia="pt-BR"/>
        </w:rPr>
        <w:t xml:space="preserve"> </w:t>
      </w:r>
      <w:r w:rsidR="0006546A" w:rsidRPr="0006546A">
        <w:rPr>
          <w:rFonts w:ascii="Calibri" w:eastAsia="Times New Roman" w:hAnsi="Calibri" w:cs="Calibri"/>
          <w:color w:val="000000" w:themeColor="text1"/>
          <w:bdr w:val="none" w:sz="0" w:space="0" w:color="auto" w:frame="1"/>
          <w:shd w:val="clear" w:color="auto" w:fill="FFFFFF"/>
          <w:lang w:eastAsia="pt-BR"/>
        </w:rPr>
        <w:t>a empresa</w:t>
      </w:r>
      <w:r w:rsidR="000E5002" w:rsidRPr="0006546A">
        <w:rPr>
          <w:rFonts w:ascii="Calibri" w:eastAsia="Times New Roman" w:hAnsi="Calibri" w:cs="Calibri"/>
          <w:color w:val="000000" w:themeColor="text1"/>
          <w:bdr w:val="none" w:sz="0" w:space="0" w:color="auto" w:frame="1"/>
          <w:shd w:val="clear" w:color="auto" w:fill="FFFFFF"/>
          <w:lang w:eastAsia="pt-BR"/>
        </w:rPr>
        <w:t xml:space="preserve"> como representante da União para avaliar os Volumes Excedentes aos Contratados em Cessão Onerosa das áreas de Atapu e Sépia e para negociar com a </w:t>
      </w:r>
      <w:r w:rsidR="0006546A" w:rsidRPr="0006546A">
        <w:rPr>
          <w:rFonts w:ascii="Calibri" w:eastAsia="Times New Roman" w:hAnsi="Calibri" w:cs="Calibri"/>
          <w:color w:val="000000" w:themeColor="text1"/>
          <w:bdr w:val="none" w:sz="0" w:space="0" w:color="auto" w:frame="1"/>
          <w:shd w:val="clear" w:color="auto" w:fill="FFFFFF"/>
          <w:lang w:eastAsia="pt-BR"/>
        </w:rPr>
        <w:t xml:space="preserve">Petrobras </w:t>
      </w:r>
      <w:r w:rsidR="0006546A" w:rsidRPr="0006546A">
        <w:rPr>
          <w:rFonts w:cstheme="minorHAnsi"/>
          <w:color w:val="000000" w:themeColor="text1"/>
        </w:rPr>
        <w:t>os</w:t>
      </w:r>
      <w:r w:rsidR="000E5002" w:rsidRPr="0006546A">
        <w:rPr>
          <w:rFonts w:cstheme="minorHAnsi"/>
          <w:color w:val="000000" w:themeColor="text1"/>
        </w:rPr>
        <w:t xml:space="preserve"> </w:t>
      </w:r>
      <w:r w:rsidRPr="0006546A">
        <w:rPr>
          <w:rFonts w:cstheme="minorHAnsi"/>
          <w:color w:val="000000" w:themeColor="text1"/>
        </w:rPr>
        <w:t>valores de compensação a serem pagos à concessionária pelos membros dos contratos de partilha dos excedentes.</w:t>
      </w:r>
    </w:p>
    <w:p w14:paraId="41EC32F3" w14:textId="6C90E53D" w:rsidR="00F51469" w:rsidRDefault="00F51469" w:rsidP="00722DDC">
      <w:pPr>
        <w:spacing w:line="276" w:lineRule="auto"/>
        <w:jc w:val="both"/>
        <w:rPr>
          <w:rFonts w:cstheme="minorHAnsi"/>
          <w:color w:val="0D0D0D" w:themeColor="text1" w:themeTint="F2"/>
        </w:rPr>
      </w:pPr>
      <w:r w:rsidRPr="00722DDC">
        <w:rPr>
          <w:rFonts w:cstheme="minorHAnsi"/>
          <w:color w:val="0D0D0D" w:themeColor="text1" w:themeTint="F2"/>
        </w:rPr>
        <w:t>Foram também constituídas equipes técnicas para estimativa das previsões de produção e valores de compensação para os volumes excedentes aos contratados na cessão onerosa relativa aos campos de Búzios e Itapu. Outra vertente do trabalho da PPSA compreende a avaliação de possíveis volumes excedentes aos contratados na cessão onerosa nos Campos de Sul de Lula, Sul e Norte de Berbigão, e Sul e Norte de Sururu.</w:t>
      </w:r>
    </w:p>
    <w:bookmarkEnd w:id="1"/>
    <w:p w14:paraId="2199AA0C" w14:textId="77777777" w:rsidR="00104C10" w:rsidRDefault="00104C10" w:rsidP="00722DDC">
      <w:pPr>
        <w:spacing w:line="276" w:lineRule="auto"/>
        <w:ind w:hanging="720"/>
        <w:jc w:val="both"/>
        <w:rPr>
          <w:rFonts w:eastAsia="Times New Roman" w:cstheme="minorHAnsi"/>
          <w:color w:val="171717" w:themeColor="background2" w:themeShade="1A"/>
          <w:lang w:eastAsia="pt-BR"/>
        </w:rPr>
      </w:pPr>
    </w:p>
    <w:p w14:paraId="422B4CA1" w14:textId="77777777" w:rsidR="00104C10" w:rsidRDefault="00104C10" w:rsidP="00722DDC">
      <w:pPr>
        <w:spacing w:line="276" w:lineRule="auto"/>
        <w:ind w:hanging="720"/>
        <w:jc w:val="both"/>
        <w:rPr>
          <w:rFonts w:eastAsia="Times New Roman" w:cstheme="minorHAnsi"/>
          <w:color w:val="171717" w:themeColor="background2" w:themeShade="1A"/>
          <w:lang w:eastAsia="pt-BR"/>
        </w:rPr>
      </w:pPr>
    </w:p>
    <w:p w14:paraId="112CA3CE" w14:textId="77777777" w:rsidR="00104C10" w:rsidRDefault="00104C10" w:rsidP="00722DDC">
      <w:pPr>
        <w:spacing w:line="276" w:lineRule="auto"/>
        <w:ind w:hanging="720"/>
        <w:jc w:val="both"/>
        <w:rPr>
          <w:rFonts w:eastAsia="Times New Roman" w:cstheme="minorHAnsi"/>
          <w:color w:val="171717" w:themeColor="background2" w:themeShade="1A"/>
          <w:lang w:eastAsia="pt-BR"/>
        </w:rPr>
      </w:pPr>
    </w:p>
    <w:p w14:paraId="025D0CD0" w14:textId="77777777" w:rsidR="00104C10" w:rsidRDefault="00104C10" w:rsidP="00722DDC">
      <w:pPr>
        <w:spacing w:line="276" w:lineRule="auto"/>
        <w:ind w:hanging="720"/>
        <w:jc w:val="both"/>
        <w:rPr>
          <w:rFonts w:eastAsia="Times New Roman" w:cstheme="minorHAnsi"/>
          <w:color w:val="171717" w:themeColor="background2" w:themeShade="1A"/>
          <w:lang w:eastAsia="pt-BR"/>
        </w:rPr>
      </w:pPr>
    </w:p>
    <w:p w14:paraId="7C08D711" w14:textId="77777777" w:rsidR="00104C10" w:rsidRDefault="00104C10" w:rsidP="00722DDC">
      <w:pPr>
        <w:spacing w:line="276" w:lineRule="auto"/>
        <w:ind w:hanging="720"/>
        <w:jc w:val="both"/>
        <w:rPr>
          <w:rFonts w:eastAsia="Times New Roman" w:cstheme="minorHAnsi"/>
          <w:color w:val="171717" w:themeColor="background2" w:themeShade="1A"/>
          <w:lang w:eastAsia="pt-BR"/>
        </w:rPr>
      </w:pPr>
    </w:p>
    <w:p w14:paraId="1C94D4BA" w14:textId="46C12DDA" w:rsidR="00C07BDB" w:rsidRPr="00722DDC" w:rsidRDefault="00C40AEA" w:rsidP="00722DDC">
      <w:pPr>
        <w:spacing w:line="276" w:lineRule="auto"/>
        <w:ind w:hanging="720"/>
        <w:jc w:val="both"/>
        <w:rPr>
          <w:rFonts w:cstheme="minorHAnsi"/>
          <w:b/>
          <w:bCs/>
          <w:color w:val="008192"/>
        </w:rPr>
      </w:pPr>
      <w:r w:rsidRPr="00722DDC">
        <w:rPr>
          <w:rFonts w:eastAsia="Times New Roman" w:cstheme="minorHAnsi"/>
          <w:color w:val="171717" w:themeColor="background2" w:themeShade="1A"/>
          <w:lang w:eastAsia="pt-BR"/>
        </w:rPr>
        <w:lastRenderedPageBreak/>
        <w:t xml:space="preserve">              </w:t>
      </w:r>
      <w:r w:rsidR="00C07BDB" w:rsidRPr="00722DDC">
        <w:rPr>
          <w:rFonts w:cstheme="minorHAnsi"/>
          <w:b/>
          <w:bCs/>
          <w:color w:val="008192"/>
        </w:rPr>
        <w:t xml:space="preserve">Políticas </w:t>
      </w:r>
      <w:r w:rsidR="00C07BDB" w:rsidRPr="006623DC">
        <w:rPr>
          <w:rFonts w:cstheme="minorHAnsi"/>
          <w:b/>
          <w:bCs/>
          <w:color w:val="008192"/>
        </w:rPr>
        <w:t xml:space="preserve">públicas e </w:t>
      </w:r>
      <w:r w:rsidR="006623DC" w:rsidRPr="006623DC">
        <w:rPr>
          <w:rFonts w:cstheme="minorHAnsi"/>
          <w:b/>
          <w:bCs/>
          <w:color w:val="008192"/>
        </w:rPr>
        <w:t>a</w:t>
      </w:r>
      <w:r w:rsidR="00C07BDB" w:rsidRPr="00C00AE5">
        <w:rPr>
          <w:rFonts w:cstheme="minorHAnsi"/>
          <w:b/>
          <w:bCs/>
          <w:color w:val="008192"/>
        </w:rPr>
        <w:t>tividades desenvolvidas</w:t>
      </w:r>
      <w:r w:rsidR="00C07BDB" w:rsidRPr="00722DDC">
        <w:rPr>
          <w:rFonts w:cstheme="minorHAnsi"/>
          <w:b/>
          <w:bCs/>
          <w:color w:val="008192"/>
        </w:rPr>
        <w:t xml:space="preserve"> </w:t>
      </w:r>
    </w:p>
    <w:p w14:paraId="00DC00E8" w14:textId="77777777" w:rsidR="00C07BDB" w:rsidRPr="00722DDC" w:rsidRDefault="00C07BDB" w:rsidP="00722DDC">
      <w:pPr>
        <w:pStyle w:val="Default"/>
        <w:jc w:val="both"/>
        <w:rPr>
          <w:rFonts w:asciiTheme="minorHAnsi" w:hAnsiTheme="minorHAnsi" w:cstheme="minorHAnsi"/>
          <w:b/>
          <w:bCs/>
          <w:color w:val="008192"/>
          <w:sz w:val="22"/>
          <w:szCs w:val="22"/>
        </w:rPr>
      </w:pPr>
    </w:p>
    <w:p w14:paraId="0DA1112E" w14:textId="6649D5BA" w:rsidR="00FC2372" w:rsidRPr="00C00AE5" w:rsidRDefault="00C07BDB" w:rsidP="00722DDC">
      <w:pPr>
        <w:spacing w:line="276" w:lineRule="auto"/>
        <w:ind w:hanging="720"/>
        <w:jc w:val="both"/>
        <w:rPr>
          <w:rFonts w:cstheme="minorHAnsi"/>
        </w:rPr>
      </w:pPr>
      <w:r w:rsidRPr="00722DDC">
        <w:rPr>
          <w:rFonts w:cstheme="minorHAnsi"/>
        </w:rPr>
        <w:t xml:space="preserve">               O marco regulatório que instituiu o regime de partilha da produção é </w:t>
      </w:r>
      <w:r w:rsidRPr="006623DC">
        <w:rPr>
          <w:rFonts w:cstheme="minorHAnsi"/>
        </w:rPr>
        <w:t>a Lei nº 12.351, de 22 de dezembro de 2010</w:t>
      </w:r>
      <w:r w:rsidRPr="009C262E">
        <w:rPr>
          <w:rFonts w:cstheme="minorHAnsi"/>
        </w:rPr>
        <w:t>, que dispõe sobre a exploração e a produção de petróleo e de gás natural nes</w:t>
      </w:r>
      <w:r w:rsidR="009D4F95" w:rsidRPr="009C262E">
        <w:rPr>
          <w:rFonts w:cstheme="minorHAnsi"/>
        </w:rPr>
        <w:t>s</w:t>
      </w:r>
      <w:r w:rsidRPr="00C00AE5">
        <w:rPr>
          <w:rFonts w:cstheme="minorHAnsi"/>
        </w:rPr>
        <w:t xml:space="preserve">e regime na área do </w:t>
      </w:r>
      <w:proofErr w:type="spellStart"/>
      <w:r w:rsidRPr="00C00AE5">
        <w:rPr>
          <w:rFonts w:cstheme="minorHAnsi"/>
        </w:rPr>
        <w:t>pré</w:t>
      </w:r>
      <w:proofErr w:type="spellEnd"/>
      <w:r w:rsidRPr="00C00AE5">
        <w:rPr>
          <w:rFonts w:cstheme="minorHAnsi"/>
        </w:rPr>
        <w:t xml:space="preserve">-sal e em áreas estratégicas. </w:t>
      </w:r>
      <w:r w:rsidR="00034F08">
        <w:rPr>
          <w:rFonts w:cstheme="minorHAnsi"/>
        </w:rPr>
        <w:t xml:space="preserve">Os valores arrecadados pela PPSA são destinados à </w:t>
      </w:r>
      <w:r w:rsidRPr="00C00AE5">
        <w:rPr>
          <w:rFonts w:cstheme="minorHAnsi"/>
        </w:rPr>
        <w:t xml:space="preserve">Conta </w:t>
      </w:r>
      <w:r w:rsidR="00791FFA" w:rsidRPr="00C00AE5">
        <w:rPr>
          <w:rFonts w:cstheme="minorHAnsi"/>
        </w:rPr>
        <w:t>Ú</w:t>
      </w:r>
      <w:r w:rsidRPr="00C00AE5">
        <w:rPr>
          <w:rFonts w:cstheme="minorHAnsi"/>
        </w:rPr>
        <w:t>nica do Tesouro Nacional</w:t>
      </w:r>
      <w:r w:rsidR="00034F08">
        <w:rPr>
          <w:rFonts w:cstheme="minorHAnsi"/>
        </w:rPr>
        <w:t xml:space="preserve">, ficando a União responsável por sua destinação legal. </w:t>
      </w:r>
      <w:r w:rsidRPr="00C00AE5">
        <w:rPr>
          <w:rFonts w:cstheme="minorHAnsi"/>
        </w:rPr>
        <w:t xml:space="preserve"> </w:t>
      </w:r>
    </w:p>
    <w:p w14:paraId="40A4095D" w14:textId="3A668077" w:rsidR="00FD2A25" w:rsidRPr="00722DDC" w:rsidRDefault="00FC2372" w:rsidP="00722DDC">
      <w:pPr>
        <w:spacing w:line="276" w:lineRule="auto"/>
        <w:ind w:hanging="720"/>
        <w:jc w:val="both"/>
        <w:rPr>
          <w:rFonts w:cstheme="minorHAnsi"/>
        </w:rPr>
      </w:pPr>
      <w:r w:rsidRPr="00C00AE5">
        <w:rPr>
          <w:rFonts w:cstheme="minorHAnsi"/>
        </w:rPr>
        <w:t xml:space="preserve">              </w:t>
      </w:r>
      <w:r w:rsidR="00C07BDB" w:rsidRPr="00C00AE5">
        <w:rPr>
          <w:rFonts w:cstheme="minorHAnsi"/>
        </w:rPr>
        <w:t xml:space="preserve">O Fundo Social tem como finalidade acumular recursos para o desenvolvimento social e regional, na forma de programas e projetos nas áreas de combate à pobreza e de desenvolvimento da educação, da cultura, do esporte, da saúde pública, da ciência e tecnologia, do meio ambiente e de mitigação e adaptação às mudanças climáticas. A Lei 12.858, de 9 de setembro de 2013, estabelece que 50% dos recursos do Fundo Social serão destinados à saúde e </w:t>
      </w:r>
      <w:r w:rsidR="00791FFA" w:rsidRPr="00C00AE5">
        <w:rPr>
          <w:rFonts w:cstheme="minorHAnsi"/>
        </w:rPr>
        <w:t xml:space="preserve">à </w:t>
      </w:r>
      <w:r w:rsidR="00C07BDB" w:rsidRPr="00C00AE5">
        <w:rPr>
          <w:rFonts w:cstheme="minorHAnsi"/>
        </w:rPr>
        <w:t xml:space="preserve">educação. </w:t>
      </w:r>
      <w:r w:rsidR="00F51469" w:rsidRPr="00C00AE5">
        <w:rPr>
          <w:rFonts w:cstheme="minorHAnsi"/>
        </w:rPr>
        <w:t>Assim,</w:t>
      </w:r>
      <w:r w:rsidR="00C07BDB" w:rsidRPr="00C00AE5">
        <w:rPr>
          <w:rFonts w:cstheme="minorHAnsi"/>
        </w:rPr>
        <w:t xml:space="preserve"> com base</w:t>
      </w:r>
      <w:r w:rsidR="00C07BDB" w:rsidRPr="00722DDC">
        <w:rPr>
          <w:rFonts w:cstheme="minorHAnsi"/>
        </w:rPr>
        <w:t xml:space="preserve"> nas políticas estabelecidas, as atividades da </w:t>
      </w:r>
      <w:proofErr w:type="spellStart"/>
      <w:r w:rsidR="00C07BDB" w:rsidRPr="00722DDC">
        <w:rPr>
          <w:rFonts w:cstheme="minorHAnsi"/>
        </w:rPr>
        <w:t>Pré</w:t>
      </w:r>
      <w:proofErr w:type="spellEnd"/>
      <w:r w:rsidR="00C07BDB" w:rsidRPr="00722DDC">
        <w:rPr>
          <w:rFonts w:cstheme="minorHAnsi"/>
        </w:rPr>
        <w:t>-Sal Petróleo beneficiam diretamente a sociedade.</w:t>
      </w:r>
    </w:p>
    <w:p w14:paraId="05CB0507" w14:textId="77777777" w:rsidR="00104C10" w:rsidRDefault="00FC2372" w:rsidP="00104C10">
      <w:pPr>
        <w:spacing w:line="276" w:lineRule="auto"/>
        <w:ind w:hanging="720"/>
        <w:jc w:val="both"/>
        <w:rPr>
          <w:rFonts w:cstheme="minorHAnsi"/>
          <w:bdr w:val="none" w:sz="0" w:space="0" w:color="auto" w:frame="1"/>
        </w:rPr>
      </w:pPr>
      <w:r w:rsidRPr="00722DDC">
        <w:rPr>
          <w:rFonts w:cstheme="minorHAnsi"/>
        </w:rPr>
        <w:t xml:space="preserve">              </w:t>
      </w:r>
      <w:r w:rsidRPr="00722DDC">
        <w:rPr>
          <w:rFonts w:cstheme="minorHAnsi"/>
          <w:color w:val="171717" w:themeColor="background2" w:themeShade="1A"/>
        </w:rPr>
        <w:t xml:space="preserve">Todas as atividades realizadas pela </w:t>
      </w:r>
      <w:r w:rsidR="009D4F95">
        <w:rPr>
          <w:rFonts w:cstheme="minorHAnsi"/>
          <w:color w:val="171717" w:themeColor="background2" w:themeShade="1A"/>
        </w:rPr>
        <w:t>companhia</w:t>
      </w:r>
      <w:r w:rsidRPr="00722DDC">
        <w:rPr>
          <w:rFonts w:cstheme="minorHAnsi"/>
          <w:color w:val="171717" w:themeColor="background2" w:themeShade="1A"/>
        </w:rPr>
        <w:t xml:space="preserve"> são pautadas com foco no interesse público e no atendimento à sua missão de maximizar os resultados econômicos da União. Em 2019, a empresa arrecadou </w:t>
      </w:r>
      <w:r w:rsidRPr="00722DDC">
        <w:rPr>
          <w:rFonts w:cstheme="minorHAnsi"/>
          <w:color w:val="201F1E"/>
          <w:bdr w:val="none" w:sz="0" w:space="0" w:color="auto" w:frame="1"/>
        </w:rPr>
        <w:t xml:space="preserve">R$ 848 milhões com </w:t>
      </w:r>
      <w:r w:rsidRPr="00722DDC">
        <w:rPr>
          <w:rFonts w:cstheme="minorHAnsi"/>
          <w:bdr w:val="none" w:sz="0" w:space="0" w:color="auto" w:frame="1"/>
        </w:rPr>
        <w:t xml:space="preserve">a comercialização de petróleo e gás natural da União e da </w:t>
      </w:r>
      <w:r w:rsidR="002F1424" w:rsidRPr="001A44B4">
        <w:rPr>
          <w:rFonts w:cstheme="minorHAnsi"/>
          <w:bdr w:val="none" w:sz="0" w:space="0" w:color="auto" w:frame="1"/>
        </w:rPr>
        <w:t>E</w:t>
      </w:r>
      <w:r w:rsidRPr="005D7ED9">
        <w:rPr>
          <w:rFonts w:cstheme="minorHAnsi"/>
          <w:bdr w:val="none" w:sz="0" w:space="0" w:color="auto" w:frame="1"/>
        </w:rPr>
        <w:t xml:space="preserve">qualização de </w:t>
      </w:r>
      <w:r w:rsidR="002F1424" w:rsidRPr="00923AD2">
        <w:rPr>
          <w:rFonts w:cstheme="minorHAnsi"/>
          <w:bdr w:val="none" w:sz="0" w:space="0" w:color="auto" w:frame="1"/>
        </w:rPr>
        <w:t>G</w:t>
      </w:r>
      <w:r w:rsidRPr="00923AD2">
        <w:rPr>
          <w:rFonts w:cstheme="minorHAnsi"/>
          <w:bdr w:val="none" w:sz="0" w:space="0" w:color="auto" w:frame="1"/>
        </w:rPr>
        <w:t xml:space="preserve">astos e </w:t>
      </w:r>
      <w:r w:rsidR="002F1424" w:rsidRPr="00D17AA1">
        <w:rPr>
          <w:rFonts w:cstheme="minorHAnsi"/>
          <w:bdr w:val="none" w:sz="0" w:space="0" w:color="auto" w:frame="1"/>
        </w:rPr>
        <w:t>V</w:t>
      </w:r>
      <w:r w:rsidRPr="00B07F9D">
        <w:rPr>
          <w:rFonts w:cstheme="minorHAnsi"/>
          <w:bdr w:val="none" w:sz="0" w:space="0" w:color="auto" w:frame="1"/>
        </w:rPr>
        <w:t xml:space="preserve">olumes </w:t>
      </w:r>
      <w:r w:rsidR="002F1424" w:rsidRPr="001A44B4">
        <w:rPr>
          <w:rFonts w:cstheme="minorHAnsi"/>
          <w:bdr w:val="none" w:sz="0" w:space="0" w:color="auto" w:frame="1"/>
        </w:rPr>
        <w:t>(EGV)</w:t>
      </w:r>
      <w:r w:rsidR="002F1424">
        <w:rPr>
          <w:rFonts w:cstheme="minorHAnsi"/>
          <w:bdr w:val="none" w:sz="0" w:space="0" w:color="auto" w:frame="1"/>
        </w:rPr>
        <w:t xml:space="preserve"> </w:t>
      </w:r>
      <w:r w:rsidR="00034F08">
        <w:rPr>
          <w:rFonts w:cstheme="minorHAnsi"/>
          <w:bdr w:val="none" w:sz="0" w:space="0" w:color="auto" w:frame="1"/>
        </w:rPr>
        <w:t>decorrente dos acordos</w:t>
      </w:r>
      <w:r w:rsidRPr="00722DDC">
        <w:rPr>
          <w:rFonts w:cstheme="minorHAnsi"/>
          <w:bdr w:val="none" w:sz="0" w:space="0" w:color="auto" w:frame="1"/>
        </w:rPr>
        <w:t xml:space="preserve"> de individualização da produção</w:t>
      </w:r>
      <w:r w:rsidR="00104C10">
        <w:rPr>
          <w:rFonts w:cstheme="minorHAnsi"/>
          <w:bdr w:val="none" w:sz="0" w:space="0" w:color="auto" w:frame="1"/>
        </w:rPr>
        <w:t>.</w:t>
      </w:r>
    </w:p>
    <w:p w14:paraId="232B83EC" w14:textId="77777777" w:rsidR="00104C10" w:rsidRDefault="00104C10" w:rsidP="00104C10">
      <w:pPr>
        <w:spacing w:line="276" w:lineRule="auto"/>
        <w:ind w:hanging="720"/>
        <w:jc w:val="both"/>
        <w:rPr>
          <w:rFonts w:cstheme="minorHAnsi"/>
        </w:rPr>
      </w:pPr>
      <w:r>
        <w:rPr>
          <w:rFonts w:cstheme="minorHAnsi"/>
        </w:rPr>
        <w:t xml:space="preserve">             </w:t>
      </w:r>
      <w:r w:rsidR="003A6AE9" w:rsidRPr="00722DDC">
        <w:rPr>
          <w:rFonts w:cstheme="minorHAnsi"/>
        </w:rPr>
        <w:t xml:space="preserve">  </w:t>
      </w:r>
    </w:p>
    <w:p w14:paraId="22A8B6AD" w14:textId="702AF794" w:rsidR="0055392E" w:rsidRPr="00104C10" w:rsidRDefault="00104C10" w:rsidP="00104C10">
      <w:pPr>
        <w:spacing w:line="276" w:lineRule="auto"/>
        <w:ind w:hanging="720"/>
        <w:jc w:val="both"/>
        <w:rPr>
          <w:rFonts w:cstheme="minorHAnsi"/>
        </w:rPr>
      </w:pPr>
      <w:r>
        <w:rPr>
          <w:rFonts w:cstheme="minorHAnsi"/>
        </w:rPr>
        <w:t xml:space="preserve">               </w:t>
      </w:r>
      <w:r w:rsidR="0055392E" w:rsidRPr="00722DDC">
        <w:rPr>
          <w:rFonts w:cstheme="minorHAnsi"/>
          <w:color w:val="008192"/>
        </w:rPr>
        <w:t xml:space="preserve">Atividades desenvolvidas </w:t>
      </w:r>
      <w:r w:rsidR="009D4F95">
        <w:rPr>
          <w:rFonts w:cstheme="minorHAnsi"/>
          <w:color w:val="008192"/>
        </w:rPr>
        <w:t>–</w:t>
      </w:r>
      <w:r w:rsidR="00B81588" w:rsidRPr="00722DDC">
        <w:rPr>
          <w:rFonts w:cstheme="minorHAnsi"/>
          <w:color w:val="008192"/>
        </w:rPr>
        <w:t xml:space="preserve"> </w:t>
      </w:r>
      <w:r w:rsidR="0055392E" w:rsidRPr="00722DDC">
        <w:rPr>
          <w:rFonts w:cstheme="minorHAnsi"/>
          <w:color w:val="008192"/>
        </w:rPr>
        <w:t>Gestão dos Contratos de Partilha de Produção</w:t>
      </w:r>
    </w:p>
    <w:p w14:paraId="2BD39C86" w14:textId="2938B1D1" w:rsidR="00EE4D28" w:rsidRPr="00722DDC" w:rsidRDefault="00EE4D28" w:rsidP="00722DDC">
      <w:pPr>
        <w:tabs>
          <w:tab w:val="num" w:pos="720"/>
        </w:tabs>
        <w:spacing w:line="276" w:lineRule="auto"/>
        <w:jc w:val="both"/>
        <w:rPr>
          <w:rFonts w:cstheme="minorHAnsi"/>
          <w:color w:val="0D0D0D" w:themeColor="text1" w:themeTint="F2"/>
        </w:rPr>
      </w:pPr>
      <w:r w:rsidRPr="00722DDC">
        <w:rPr>
          <w:rFonts w:cstheme="minorHAnsi"/>
          <w:color w:val="0D0D0D" w:themeColor="text1" w:themeTint="F2"/>
        </w:rPr>
        <w:t xml:space="preserve">Ao longo do ano, </w:t>
      </w:r>
      <w:r w:rsidR="002D16F3" w:rsidRPr="00722DDC">
        <w:rPr>
          <w:rFonts w:cstheme="minorHAnsi"/>
          <w:color w:val="0D0D0D" w:themeColor="text1" w:themeTint="F2"/>
        </w:rPr>
        <w:t xml:space="preserve">a </w:t>
      </w:r>
      <w:proofErr w:type="spellStart"/>
      <w:r w:rsidR="009D4F95">
        <w:rPr>
          <w:rFonts w:cstheme="minorHAnsi"/>
          <w:color w:val="0D0D0D" w:themeColor="text1" w:themeTint="F2"/>
        </w:rPr>
        <w:t>Pré</w:t>
      </w:r>
      <w:proofErr w:type="spellEnd"/>
      <w:r w:rsidR="009D4F95">
        <w:rPr>
          <w:rFonts w:cstheme="minorHAnsi"/>
          <w:color w:val="0D0D0D" w:themeColor="text1" w:themeTint="F2"/>
        </w:rPr>
        <w:t>-Sal Petróleo</w:t>
      </w:r>
      <w:r w:rsidR="002D16F3" w:rsidRPr="00722DDC">
        <w:rPr>
          <w:rFonts w:cstheme="minorHAnsi"/>
          <w:color w:val="0D0D0D" w:themeColor="text1" w:themeTint="F2"/>
        </w:rPr>
        <w:t xml:space="preserve"> realizou</w:t>
      </w:r>
      <w:r w:rsidRPr="00722DDC">
        <w:rPr>
          <w:rFonts w:cstheme="minorHAnsi"/>
          <w:color w:val="0D0D0D" w:themeColor="text1" w:themeTint="F2"/>
        </w:rPr>
        <w:t xml:space="preserve"> atividades em todos os 14 contratos sob </w:t>
      </w:r>
      <w:r w:rsidR="002D16F3" w:rsidRPr="00722DDC">
        <w:rPr>
          <w:rFonts w:cstheme="minorHAnsi"/>
          <w:color w:val="0D0D0D" w:themeColor="text1" w:themeTint="F2"/>
        </w:rPr>
        <w:t>sua</w:t>
      </w:r>
      <w:r w:rsidRPr="00722DDC">
        <w:rPr>
          <w:rFonts w:cstheme="minorHAnsi"/>
          <w:color w:val="0D0D0D" w:themeColor="text1" w:themeTint="F2"/>
        </w:rPr>
        <w:t xml:space="preserve"> gestão. </w:t>
      </w:r>
      <w:r w:rsidR="002D16F3" w:rsidRPr="00722DDC">
        <w:rPr>
          <w:rFonts w:cstheme="minorHAnsi"/>
          <w:color w:val="0D0D0D" w:themeColor="text1" w:themeTint="F2"/>
        </w:rPr>
        <w:t xml:space="preserve">A equipe </w:t>
      </w:r>
      <w:r w:rsidRPr="00722DDC">
        <w:rPr>
          <w:rFonts w:cstheme="minorHAnsi"/>
          <w:color w:val="0D0D0D" w:themeColor="text1" w:themeTint="F2"/>
        </w:rPr>
        <w:t>trabalhou com foco em resultados, aprovando gastos com custeio e investimento passíveis de recuperação pelos contratados</w:t>
      </w:r>
      <w:sdt>
        <w:sdtPr>
          <w:rPr>
            <w:rFonts w:cstheme="minorHAnsi"/>
            <w:color w:val="0D0D0D" w:themeColor="text1" w:themeTint="F2"/>
          </w:rPr>
          <w:tag w:val="goog_rdk_28"/>
          <w:id w:val="429780663"/>
        </w:sdtPr>
        <w:sdtEndPr/>
        <w:sdtContent>
          <w:r w:rsidR="004D4996">
            <w:rPr>
              <w:rFonts w:cstheme="minorHAnsi"/>
              <w:color w:val="0D0D0D" w:themeColor="text1" w:themeTint="F2"/>
            </w:rPr>
            <w:t>,</w:t>
          </w:r>
          <w:r w:rsidRPr="00722DDC">
            <w:rPr>
              <w:rFonts w:cstheme="minorHAnsi"/>
              <w:color w:val="0D0D0D" w:themeColor="text1" w:themeTint="F2"/>
            </w:rPr>
            <w:t xml:space="preserve"> </w:t>
          </w:r>
        </w:sdtContent>
      </w:sdt>
      <w:r w:rsidRPr="00722DDC">
        <w:rPr>
          <w:rFonts w:cstheme="minorHAnsi"/>
          <w:color w:val="0D0D0D" w:themeColor="text1" w:themeTint="F2"/>
        </w:rPr>
        <w:t>verificando o cumprimento do conteúdo local</w:t>
      </w:r>
      <w:r w:rsidR="004D4996">
        <w:rPr>
          <w:rFonts w:cstheme="minorHAnsi"/>
          <w:color w:val="0D0D0D" w:themeColor="text1" w:themeTint="F2"/>
        </w:rPr>
        <w:t>,</w:t>
      </w:r>
      <w:r w:rsidRPr="00722DDC">
        <w:rPr>
          <w:rFonts w:cstheme="minorHAnsi"/>
          <w:color w:val="0D0D0D" w:themeColor="text1" w:themeTint="F2"/>
        </w:rPr>
        <w:t xml:space="preserve"> presidindo os comitês operacionais</w:t>
      </w:r>
      <w:r w:rsidR="004D4996">
        <w:rPr>
          <w:rFonts w:cstheme="minorHAnsi"/>
          <w:color w:val="0D0D0D" w:themeColor="text1" w:themeTint="F2"/>
        </w:rPr>
        <w:t>,</w:t>
      </w:r>
      <w:r w:rsidRPr="00722DDC">
        <w:rPr>
          <w:rFonts w:cstheme="minorHAnsi"/>
          <w:color w:val="0D0D0D" w:themeColor="text1" w:themeTint="F2"/>
        </w:rPr>
        <w:t xml:space="preserve"> participando ativamente de subcomitês técnicos em todos os contratos e discutindo temas diversos como inovação, segurança e logística. Em todos os contratos, </w:t>
      </w:r>
      <w:r w:rsidR="002D16F3" w:rsidRPr="00722DDC">
        <w:rPr>
          <w:rFonts w:cstheme="minorHAnsi"/>
          <w:color w:val="0D0D0D" w:themeColor="text1" w:themeTint="F2"/>
        </w:rPr>
        <w:t>foram revisados e simplificados os</w:t>
      </w:r>
      <w:r w:rsidRPr="00722DDC">
        <w:rPr>
          <w:rFonts w:cstheme="minorHAnsi"/>
          <w:color w:val="0D0D0D" w:themeColor="text1" w:themeTint="F2"/>
        </w:rPr>
        <w:t xml:space="preserve"> procedimentos de aprovação de</w:t>
      </w:r>
      <w:r w:rsidRPr="00722DDC">
        <w:rPr>
          <w:rFonts w:cstheme="minorHAnsi"/>
          <w:i/>
          <w:color w:val="0D0D0D" w:themeColor="text1" w:themeTint="F2"/>
        </w:rPr>
        <w:t xml:space="preserve"> </w:t>
      </w:r>
      <w:proofErr w:type="spellStart"/>
      <w:r w:rsidRPr="00722DDC">
        <w:rPr>
          <w:rFonts w:cstheme="minorHAnsi"/>
          <w:i/>
          <w:color w:val="0D0D0D" w:themeColor="text1" w:themeTint="F2"/>
        </w:rPr>
        <w:t>ballots</w:t>
      </w:r>
      <w:proofErr w:type="spellEnd"/>
      <w:r w:rsidRPr="00722DDC">
        <w:rPr>
          <w:rFonts w:cstheme="minorHAnsi"/>
          <w:color w:val="0D0D0D" w:themeColor="text1" w:themeTint="F2"/>
        </w:rPr>
        <w:t xml:space="preserve"> (votos por correspondência) e aprimora</w:t>
      </w:r>
      <w:r w:rsidR="004D4996">
        <w:rPr>
          <w:rFonts w:cstheme="minorHAnsi"/>
          <w:color w:val="0D0D0D" w:themeColor="text1" w:themeTint="F2"/>
        </w:rPr>
        <w:t>da</w:t>
      </w:r>
      <w:r w:rsidRPr="00722DDC">
        <w:rPr>
          <w:rFonts w:cstheme="minorHAnsi"/>
          <w:color w:val="0D0D0D" w:themeColor="text1" w:themeTint="F2"/>
        </w:rPr>
        <w:t xml:space="preserve"> a governança.</w:t>
      </w:r>
    </w:p>
    <w:p w14:paraId="5F7DA058" w14:textId="2C0BB130" w:rsidR="00EE4D28" w:rsidRPr="00722DDC" w:rsidRDefault="00EE4D28" w:rsidP="00722DDC">
      <w:pPr>
        <w:spacing w:line="276" w:lineRule="auto"/>
        <w:jc w:val="both"/>
        <w:rPr>
          <w:rFonts w:cstheme="minorHAnsi"/>
          <w:color w:val="0D0D0D" w:themeColor="text1" w:themeTint="F2"/>
        </w:rPr>
      </w:pPr>
      <w:r w:rsidRPr="00722DDC">
        <w:rPr>
          <w:rFonts w:cstheme="minorHAnsi"/>
          <w:color w:val="0D0D0D" w:themeColor="text1" w:themeTint="F2"/>
        </w:rPr>
        <w:t xml:space="preserve">Para dar suporte à gestão, </w:t>
      </w:r>
      <w:r w:rsidR="002D16F3" w:rsidRPr="00722DDC">
        <w:rPr>
          <w:rFonts w:cstheme="minorHAnsi"/>
          <w:color w:val="0D0D0D" w:themeColor="text1" w:themeTint="F2"/>
        </w:rPr>
        <w:t>adqui</w:t>
      </w:r>
      <w:r w:rsidR="00917610">
        <w:rPr>
          <w:rFonts w:cstheme="minorHAnsi"/>
          <w:color w:val="0D0D0D" w:themeColor="text1" w:themeTint="F2"/>
        </w:rPr>
        <w:t>rimos</w:t>
      </w:r>
      <w:r w:rsidRPr="00722DDC">
        <w:rPr>
          <w:rFonts w:cstheme="minorHAnsi"/>
          <w:color w:val="0D0D0D" w:themeColor="text1" w:themeTint="F2"/>
        </w:rPr>
        <w:t xml:space="preserve"> um parque de 18 </w:t>
      </w:r>
      <w:r w:rsidRPr="00722DDC">
        <w:rPr>
          <w:rFonts w:cstheme="minorHAnsi"/>
          <w:i/>
          <w:color w:val="0D0D0D" w:themeColor="text1" w:themeTint="F2"/>
        </w:rPr>
        <w:t>workstations</w:t>
      </w:r>
      <w:r w:rsidRPr="00722DDC">
        <w:rPr>
          <w:rFonts w:cstheme="minorHAnsi"/>
          <w:color w:val="0D0D0D" w:themeColor="text1" w:themeTint="F2"/>
        </w:rPr>
        <w:t xml:space="preserve"> para </w:t>
      </w:r>
      <w:r w:rsidR="004D4996">
        <w:rPr>
          <w:rFonts w:cstheme="minorHAnsi"/>
          <w:color w:val="0D0D0D" w:themeColor="text1" w:themeTint="F2"/>
        </w:rPr>
        <w:t xml:space="preserve">a </w:t>
      </w:r>
      <w:r w:rsidRPr="00722DDC">
        <w:rPr>
          <w:rFonts w:cstheme="minorHAnsi"/>
          <w:color w:val="0D0D0D" w:themeColor="text1" w:themeTint="F2"/>
        </w:rPr>
        <w:t>construção de modelos de reservatórios</w:t>
      </w:r>
      <w:r w:rsidR="002D16F3" w:rsidRPr="00722DDC">
        <w:rPr>
          <w:rFonts w:cstheme="minorHAnsi"/>
          <w:color w:val="0D0D0D" w:themeColor="text1" w:themeTint="F2"/>
        </w:rPr>
        <w:t xml:space="preserve">, recursos fundamentais para a </w:t>
      </w:r>
      <w:r w:rsidRPr="00722DDC">
        <w:rPr>
          <w:rFonts w:cstheme="minorHAnsi"/>
          <w:color w:val="0D0D0D" w:themeColor="text1" w:themeTint="F2"/>
        </w:rPr>
        <w:t xml:space="preserve">elaboração de novos modelos geológicos e de reservatórios para os contratos </w:t>
      </w:r>
      <w:r w:rsidR="002D16F3" w:rsidRPr="00722DDC">
        <w:rPr>
          <w:rFonts w:cstheme="minorHAnsi"/>
          <w:color w:val="0D0D0D" w:themeColor="text1" w:themeTint="F2"/>
        </w:rPr>
        <w:t xml:space="preserve">de partilha, </w:t>
      </w:r>
      <w:r w:rsidRPr="00722DDC">
        <w:rPr>
          <w:rFonts w:cstheme="minorHAnsi"/>
          <w:color w:val="0D0D0D" w:themeColor="text1" w:themeTint="F2"/>
        </w:rPr>
        <w:t xml:space="preserve">de forma a ampliar o conhecimento sobre essas áreas. Em atendimento aos objetivos estratégicos, </w:t>
      </w:r>
      <w:r w:rsidR="002D16F3" w:rsidRPr="00722DDC">
        <w:rPr>
          <w:rFonts w:cstheme="minorHAnsi"/>
          <w:color w:val="0D0D0D" w:themeColor="text1" w:themeTint="F2"/>
        </w:rPr>
        <w:t>foi contratado</w:t>
      </w:r>
      <w:r w:rsidRPr="00722DDC">
        <w:rPr>
          <w:rFonts w:cstheme="minorHAnsi"/>
          <w:color w:val="0D0D0D" w:themeColor="text1" w:themeTint="F2"/>
        </w:rPr>
        <w:t xml:space="preserve"> um banco de dados de custos de exploração e produção</w:t>
      </w:r>
      <w:r w:rsidR="00917610">
        <w:rPr>
          <w:rFonts w:cstheme="minorHAnsi"/>
          <w:color w:val="0D0D0D" w:themeColor="text1" w:themeTint="F2"/>
        </w:rPr>
        <w:t>,</w:t>
      </w:r>
      <w:r w:rsidRPr="00722DDC">
        <w:rPr>
          <w:rFonts w:cstheme="minorHAnsi"/>
          <w:color w:val="0D0D0D" w:themeColor="text1" w:themeTint="F2"/>
        </w:rPr>
        <w:t xml:space="preserve"> para embasar </w:t>
      </w:r>
      <w:r w:rsidR="00917610">
        <w:rPr>
          <w:rFonts w:cstheme="minorHAnsi"/>
          <w:color w:val="0D0D0D" w:themeColor="text1" w:themeTint="F2"/>
        </w:rPr>
        <w:t xml:space="preserve">a </w:t>
      </w:r>
      <w:r w:rsidRPr="00722DDC">
        <w:rPr>
          <w:rFonts w:cstheme="minorHAnsi"/>
          <w:color w:val="0D0D0D" w:themeColor="text1" w:themeTint="F2"/>
        </w:rPr>
        <w:t>análise de cenários de projetos e de custos</w:t>
      </w:r>
      <w:r w:rsidR="00917610">
        <w:rPr>
          <w:rFonts w:cstheme="minorHAnsi"/>
          <w:color w:val="0D0D0D" w:themeColor="text1" w:themeTint="F2"/>
        </w:rPr>
        <w:t>;</w:t>
      </w:r>
      <w:r w:rsidRPr="00722DDC">
        <w:rPr>
          <w:rFonts w:cstheme="minorHAnsi"/>
          <w:color w:val="0D0D0D" w:themeColor="text1" w:themeTint="F2"/>
        </w:rPr>
        <w:t xml:space="preserve"> </w:t>
      </w:r>
      <w:r w:rsidR="004D4996">
        <w:rPr>
          <w:rFonts w:cstheme="minorHAnsi"/>
          <w:color w:val="0D0D0D" w:themeColor="text1" w:themeTint="F2"/>
        </w:rPr>
        <w:t>bem como</w:t>
      </w:r>
      <w:r w:rsidRPr="00722DDC">
        <w:rPr>
          <w:rFonts w:cstheme="minorHAnsi"/>
          <w:color w:val="0D0D0D" w:themeColor="text1" w:themeTint="F2"/>
        </w:rPr>
        <w:t xml:space="preserve"> desenvolv</w:t>
      </w:r>
      <w:r w:rsidR="002D16F3" w:rsidRPr="00722DDC">
        <w:rPr>
          <w:rFonts w:cstheme="minorHAnsi"/>
          <w:color w:val="0D0D0D" w:themeColor="text1" w:themeTint="F2"/>
        </w:rPr>
        <w:t>ida</w:t>
      </w:r>
      <w:r w:rsidRPr="00722DDC">
        <w:rPr>
          <w:rFonts w:cstheme="minorHAnsi"/>
          <w:color w:val="0D0D0D" w:themeColor="text1" w:themeTint="F2"/>
        </w:rPr>
        <w:t xml:space="preserve"> uma ferramenta de modelo econômico para analisar e aprovar a viabilidade dos projetos de exploração e produção. Com base nessa ferramenta, </w:t>
      </w:r>
      <w:r w:rsidR="002D16F3" w:rsidRPr="00722DDC">
        <w:rPr>
          <w:rFonts w:cstheme="minorHAnsi"/>
          <w:color w:val="0D0D0D" w:themeColor="text1" w:themeTint="F2"/>
        </w:rPr>
        <w:t xml:space="preserve">a empresa </w:t>
      </w:r>
      <w:r w:rsidRPr="00722DDC">
        <w:rPr>
          <w:rFonts w:cstheme="minorHAnsi"/>
          <w:color w:val="0D0D0D" w:themeColor="text1" w:themeTint="F2"/>
        </w:rPr>
        <w:t>pass</w:t>
      </w:r>
      <w:r w:rsidR="002D16F3" w:rsidRPr="00722DDC">
        <w:rPr>
          <w:rFonts w:cstheme="minorHAnsi"/>
          <w:color w:val="0D0D0D" w:themeColor="text1" w:themeTint="F2"/>
        </w:rPr>
        <w:t>ou</w:t>
      </w:r>
      <w:r w:rsidRPr="00722DDC">
        <w:rPr>
          <w:rFonts w:cstheme="minorHAnsi"/>
          <w:color w:val="0D0D0D" w:themeColor="text1" w:themeTint="F2"/>
        </w:rPr>
        <w:t xml:space="preserve"> a simular os mais variados cenários econômicos, alavancando o poder de avaliação, a crítica e a gestão dos projetos em andamento ou futuros, de modo a propor às operadoras melhorias para </w:t>
      </w:r>
      <w:r w:rsidR="00917610">
        <w:rPr>
          <w:rFonts w:cstheme="minorHAnsi"/>
          <w:color w:val="0D0D0D" w:themeColor="text1" w:themeTint="F2"/>
        </w:rPr>
        <w:t xml:space="preserve">a </w:t>
      </w:r>
      <w:r w:rsidRPr="00722DDC">
        <w:rPr>
          <w:rFonts w:cstheme="minorHAnsi"/>
          <w:color w:val="0D0D0D" w:themeColor="text1" w:themeTint="F2"/>
        </w:rPr>
        <w:t xml:space="preserve">redução do risco, custo e aumento da taxa de retorno. </w:t>
      </w:r>
    </w:p>
    <w:p w14:paraId="717D2682" w14:textId="591E7578" w:rsidR="00EE4D28" w:rsidRPr="00722DDC" w:rsidRDefault="00EE4D28" w:rsidP="00722DDC">
      <w:pPr>
        <w:spacing w:line="276" w:lineRule="auto"/>
        <w:jc w:val="both"/>
        <w:rPr>
          <w:rFonts w:cstheme="minorHAnsi"/>
          <w:color w:val="0D0D0D" w:themeColor="text1" w:themeTint="F2"/>
        </w:rPr>
      </w:pPr>
      <w:r w:rsidRPr="00722DDC">
        <w:rPr>
          <w:rFonts w:cstheme="minorHAnsi"/>
          <w:color w:val="0D0D0D" w:themeColor="text1" w:themeTint="F2"/>
        </w:rPr>
        <w:t>O ano também foi marcado pelo desenvolvimento e entrega do Sistema de Gestão de Gastos de Partilha de Produção (SGPP), uma ferramenta digital que possibilita o acompanhamento on</w:t>
      </w:r>
      <w:r w:rsidR="004D4996">
        <w:rPr>
          <w:rFonts w:cstheme="minorHAnsi"/>
          <w:color w:val="0D0D0D" w:themeColor="text1" w:themeTint="F2"/>
        </w:rPr>
        <w:t>-</w:t>
      </w:r>
      <w:r w:rsidRPr="00722DDC">
        <w:rPr>
          <w:rFonts w:cstheme="minorHAnsi"/>
          <w:color w:val="0D0D0D" w:themeColor="text1" w:themeTint="F2"/>
        </w:rPr>
        <w:t xml:space="preserve">line de todas as atividades de gestão dos contratos. O SGPP aumenta a segurança da informação dos contratos e agiliza o processo de reconhecimento de custos e tomada de decisão. O sistema já está em uso em nove dos 14 blocos. </w:t>
      </w:r>
    </w:p>
    <w:p w14:paraId="693B418F" w14:textId="2CD84BBB" w:rsidR="00EE4D28" w:rsidRPr="00722DDC" w:rsidRDefault="00EE4D28" w:rsidP="00722DDC">
      <w:pPr>
        <w:spacing w:line="276" w:lineRule="auto"/>
        <w:jc w:val="both"/>
        <w:rPr>
          <w:rFonts w:cstheme="minorHAnsi"/>
          <w:color w:val="0D0D0D" w:themeColor="text1" w:themeTint="F2"/>
        </w:rPr>
      </w:pPr>
      <w:r w:rsidRPr="00722DDC">
        <w:rPr>
          <w:rFonts w:cstheme="minorHAnsi"/>
          <w:color w:val="0D0D0D" w:themeColor="text1" w:themeTint="F2"/>
        </w:rPr>
        <w:lastRenderedPageBreak/>
        <w:t>A tabela a seguir demonstra os projetos sob gestão</w:t>
      </w:r>
      <w:r w:rsidR="002D16F3" w:rsidRPr="00722DDC">
        <w:rPr>
          <w:rFonts w:cstheme="minorHAnsi"/>
          <w:color w:val="0D0D0D" w:themeColor="text1" w:themeTint="F2"/>
        </w:rPr>
        <w:t xml:space="preserve"> da PPSA</w:t>
      </w:r>
      <w:r w:rsidRPr="00722DDC">
        <w:rPr>
          <w:rFonts w:cstheme="minorHAnsi"/>
          <w:color w:val="0D0D0D" w:themeColor="text1" w:themeTint="F2"/>
        </w:rPr>
        <w:t>:</w:t>
      </w:r>
    </w:p>
    <w:p w14:paraId="79E201D4" w14:textId="79D0AB78" w:rsidR="0002478F" w:rsidRDefault="00EF1EB4" w:rsidP="00D64942">
      <w:pPr>
        <w:spacing w:line="276" w:lineRule="auto"/>
        <w:ind w:left="-426" w:hanging="283"/>
        <w:jc w:val="both"/>
        <w:rPr>
          <w:rFonts w:cstheme="minorHAnsi"/>
          <w:color w:val="0D0D0D" w:themeColor="text1" w:themeTint="F2"/>
        </w:rPr>
      </w:pPr>
      <w:r>
        <w:rPr>
          <w:noProof/>
        </w:rPr>
        <w:t xml:space="preserve">                 </w:t>
      </w:r>
      <w:r>
        <w:rPr>
          <w:noProof/>
        </w:rPr>
        <w:drawing>
          <wp:inline distT="0" distB="0" distL="0" distR="0" wp14:anchorId="554F043E" wp14:editId="75B306FD">
            <wp:extent cx="6305550" cy="3689181"/>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0813" cy="3703962"/>
                    </a:xfrm>
                    <a:prstGeom prst="rect">
                      <a:avLst/>
                    </a:prstGeom>
                  </pic:spPr>
                </pic:pic>
              </a:graphicData>
            </a:graphic>
          </wp:inline>
        </w:drawing>
      </w:r>
    </w:p>
    <w:p w14:paraId="30ACAC67" w14:textId="6A312193" w:rsidR="004B2817" w:rsidRPr="00722DDC" w:rsidRDefault="004B2817" w:rsidP="00722DDC">
      <w:pPr>
        <w:spacing w:line="276" w:lineRule="auto"/>
        <w:jc w:val="both"/>
        <w:rPr>
          <w:rFonts w:cstheme="minorHAnsi"/>
          <w:color w:val="0D0D0D" w:themeColor="text1" w:themeTint="F2"/>
        </w:rPr>
      </w:pPr>
      <w:r w:rsidRPr="00722DDC">
        <w:rPr>
          <w:rFonts w:cstheme="minorHAnsi"/>
          <w:color w:val="0D0D0D" w:themeColor="text1" w:themeTint="F2"/>
        </w:rPr>
        <w:t xml:space="preserve">O mapa abaixo demonstra a localização dos projetos no Polígono do </w:t>
      </w:r>
      <w:proofErr w:type="spellStart"/>
      <w:r w:rsidRPr="00722DDC">
        <w:rPr>
          <w:rFonts w:cstheme="minorHAnsi"/>
          <w:color w:val="0D0D0D" w:themeColor="text1" w:themeTint="F2"/>
        </w:rPr>
        <w:t>Pré</w:t>
      </w:r>
      <w:proofErr w:type="spellEnd"/>
      <w:r w:rsidRPr="00722DDC">
        <w:rPr>
          <w:rFonts w:cstheme="minorHAnsi"/>
          <w:color w:val="0D0D0D" w:themeColor="text1" w:themeTint="F2"/>
        </w:rPr>
        <w:t xml:space="preserve">-Sal: </w:t>
      </w:r>
    </w:p>
    <w:p w14:paraId="7F200411" w14:textId="77777777" w:rsidR="004B2817" w:rsidRPr="00722DDC" w:rsidRDefault="004B2817" w:rsidP="00722DDC">
      <w:pPr>
        <w:pStyle w:val="Default"/>
        <w:jc w:val="both"/>
        <w:rPr>
          <w:rFonts w:asciiTheme="minorHAnsi" w:hAnsiTheme="minorHAnsi" w:cstheme="minorHAnsi"/>
          <w:sz w:val="22"/>
          <w:szCs w:val="22"/>
        </w:rPr>
      </w:pPr>
      <w:r w:rsidRPr="00722DDC">
        <w:rPr>
          <w:rFonts w:asciiTheme="minorHAnsi" w:hAnsiTheme="minorHAnsi" w:cstheme="minorHAnsi"/>
          <w:noProof/>
          <w:sz w:val="22"/>
          <w:szCs w:val="22"/>
          <w:lang w:eastAsia="pt-BR"/>
        </w:rPr>
        <w:drawing>
          <wp:inline distT="0" distB="0" distL="0" distR="0" wp14:anchorId="2FDF580D" wp14:editId="0CA2BD27">
            <wp:extent cx="5827647" cy="3743325"/>
            <wp:effectExtent l="0" t="0" r="1905" b="0"/>
            <wp:docPr id="388701384" name="Imagem 764386124" descr="C:\Users\flavio.fernandes\Dados\Teste Mapa\Mapa CPPs RR 0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4386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016" cy="3792380"/>
                    </a:xfrm>
                    <a:prstGeom prst="rect">
                      <a:avLst/>
                    </a:prstGeom>
                  </pic:spPr>
                </pic:pic>
              </a:graphicData>
            </a:graphic>
          </wp:inline>
        </w:drawing>
      </w:r>
    </w:p>
    <w:p w14:paraId="0542D547" w14:textId="4EF7575C" w:rsidR="00EE4D28" w:rsidRDefault="00EE4D28" w:rsidP="00722DDC">
      <w:pPr>
        <w:spacing w:line="276" w:lineRule="auto"/>
        <w:jc w:val="both"/>
        <w:rPr>
          <w:rFonts w:cstheme="minorHAnsi"/>
          <w:b/>
          <w:color w:val="0D0D0D" w:themeColor="text1" w:themeTint="F2"/>
        </w:rPr>
      </w:pPr>
    </w:p>
    <w:p w14:paraId="01DF55F1" w14:textId="6FF0B924" w:rsidR="00061D6A" w:rsidRDefault="00061D6A" w:rsidP="00722DDC">
      <w:pPr>
        <w:spacing w:line="276" w:lineRule="auto"/>
        <w:jc w:val="both"/>
        <w:rPr>
          <w:rFonts w:cstheme="minorHAnsi"/>
          <w:b/>
          <w:color w:val="0D0D0D" w:themeColor="text1" w:themeTint="F2"/>
        </w:rPr>
      </w:pPr>
    </w:p>
    <w:p w14:paraId="00FB9BEF" w14:textId="4F99E1FC" w:rsidR="00061D6A" w:rsidRDefault="00061D6A" w:rsidP="00722DDC">
      <w:pPr>
        <w:spacing w:line="276" w:lineRule="auto"/>
        <w:jc w:val="both"/>
        <w:rPr>
          <w:rFonts w:cstheme="minorHAnsi"/>
          <w:b/>
          <w:color w:val="0D0D0D" w:themeColor="text1" w:themeTint="F2"/>
        </w:rPr>
      </w:pPr>
    </w:p>
    <w:p w14:paraId="353388D4" w14:textId="36BC1B58" w:rsidR="004B2817" w:rsidRPr="00722DDC" w:rsidRDefault="004B2817" w:rsidP="00722DDC">
      <w:pPr>
        <w:spacing w:line="276" w:lineRule="auto"/>
        <w:jc w:val="both"/>
        <w:rPr>
          <w:rFonts w:cstheme="minorHAnsi"/>
          <w:bCs/>
        </w:rPr>
      </w:pPr>
      <w:r w:rsidRPr="00722DDC">
        <w:rPr>
          <w:rFonts w:cstheme="minorHAnsi"/>
          <w:bCs/>
        </w:rPr>
        <w:t>A seguir</w:t>
      </w:r>
      <w:r w:rsidR="00917610">
        <w:rPr>
          <w:rFonts w:cstheme="minorHAnsi"/>
          <w:bCs/>
        </w:rPr>
        <w:t>,</w:t>
      </w:r>
      <w:r w:rsidRPr="00722DDC">
        <w:rPr>
          <w:rFonts w:cstheme="minorHAnsi"/>
          <w:bCs/>
        </w:rPr>
        <w:t xml:space="preserve"> os principais marcos dos projetos</w:t>
      </w:r>
      <w:r w:rsidR="001E49B5">
        <w:rPr>
          <w:rFonts w:cstheme="minorHAnsi"/>
          <w:bCs/>
        </w:rPr>
        <w:t xml:space="preserve"> em 2019</w:t>
      </w:r>
      <w:r w:rsidRPr="00722DDC">
        <w:rPr>
          <w:rFonts w:cstheme="minorHAnsi"/>
          <w:bCs/>
        </w:rPr>
        <w:t>:</w:t>
      </w:r>
    </w:p>
    <w:p w14:paraId="6B9A060C" w14:textId="294EFFA0" w:rsidR="00C2126D" w:rsidRPr="00C00AE5" w:rsidRDefault="004B2817" w:rsidP="00722DDC">
      <w:pPr>
        <w:spacing w:line="276" w:lineRule="auto"/>
        <w:ind w:hanging="720"/>
        <w:jc w:val="both"/>
        <w:rPr>
          <w:rFonts w:cstheme="minorHAnsi"/>
          <w:b/>
        </w:rPr>
      </w:pPr>
      <w:r w:rsidRPr="00722DDC">
        <w:rPr>
          <w:rFonts w:cstheme="minorHAnsi"/>
        </w:rPr>
        <w:t xml:space="preserve">              </w:t>
      </w:r>
      <w:r w:rsidR="00C2126D" w:rsidRPr="00C00AE5">
        <w:rPr>
          <w:rFonts w:cstheme="minorHAnsi"/>
          <w:b/>
        </w:rPr>
        <w:t xml:space="preserve">Contrato da 1ª Rodada de Partilha de Produção </w:t>
      </w:r>
    </w:p>
    <w:p w14:paraId="48FCF38D" w14:textId="77777777" w:rsidR="00C2126D" w:rsidRPr="00722DDC" w:rsidRDefault="00C2126D" w:rsidP="00722DDC">
      <w:pPr>
        <w:spacing w:line="276" w:lineRule="auto"/>
        <w:jc w:val="both"/>
        <w:rPr>
          <w:rFonts w:cstheme="minorHAnsi"/>
          <w:bCs/>
        </w:rPr>
      </w:pPr>
      <w:r w:rsidRPr="00722DDC">
        <w:rPr>
          <w:rFonts w:cstheme="minorHAnsi"/>
          <w:bCs/>
        </w:rPr>
        <w:t xml:space="preserve">Bloco: </w:t>
      </w:r>
      <w:r w:rsidRPr="00722DDC">
        <w:rPr>
          <w:rFonts w:cstheme="minorHAnsi"/>
          <w:bCs/>
          <w:i/>
        </w:rPr>
        <w:t>Libra</w:t>
      </w:r>
    </w:p>
    <w:p w14:paraId="2B18321B" w14:textId="77777777" w:rsidR="00C2126D" w:rsidRPr="00722DDC" w:rsidRDefault="00C2126D" w:rsidP="00722DDC">
      <w:pPr>
        <w:spacing w:line="276" w:lineRule="auto"/>
        <w:jc w:val="both"/>
        <w:rPr>
          <w:rFonts w:cstheme="minorHAnsi"/>
          <w:bCs/>
        </w:rPr>
      </w:pPr>
      <w:r w:rsidRPr="00722DDC">
        <w:rPr>
          <w:rFonts w:cstheme="minorHAnsi"/>
          <w:bCs/>
        </w:rPr>
        <w:t xml:space="preserve">Contratados: </w:t>
      </w:r>
      <w:r w:rsidRPr="00722DDC">
        <w:rPr>
          <w:rFonts w:cstheme="minorHAnsi"/>
          <w:bCs/>
          <w:i/>
        </w:rPr>
        <w:t>Petrobras (operador, 40%), Shell (20%), Total (20%), CNODC (10%) e CNOOC (10%)</w:t>
      </w:r>
    </w:p>
    <w:p w14:paraId="5A46ED08" w14:textId="77777777" w:rsidR="00C2126D" w:rsidRPr="00722DDC" w:rsidRDefault="00C2126D" w:rsidP="00722DDC">
      <w:pPr>
        <w:spacing w:line="276" w:lineRule="auto"/>
        <w:jc w:val="both"/>
        <w:rPr>
          <w:rFonts w:cstheme="minorHAnsi"/>
          <w:bCs/>
        </w:rPr>
      </w:pPr>
      <w:r w:rsidRPr="00722DDC">
        <w:rPr>
          <w:rFonts w:cstheme="minorHAnsi"/>
          <w:bCs/>
        </w:rPr>
        <w:t xml:space="preserve">Bônus e excedente em óleo da União: </w:t>
      </w:r>
      <w:r w:rsidRPr="00722DDC">
        <w:rPr>
          <w:rFonts w:cstheme="minorHAnsi"/>
          <w:bCs/>
          <w:i/>
          <w:color w:val="000000" w:themeColor="text1"/>
        </w:rPr>
        <w:t>R$ 15 bilhões</w:t>
      </w:r>
      <w:r w:rsidRPr="00722DDC">
        <w:rPr>
          <w:rFonts w:cstheme="minorHAnsi"/>
          <w:bCs/>
          <w:i/>
        </w:rPr>
        <w:t xml:space="preserve"> e 41,65%</w:t>
      </w:r>
    </w:p>
    <w:p w14:paraId="6E0020B9" w14:textId="7C851B27"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4B2817" w:rsidRPr="00722DDC">
        <w:rPr>
          <w:rFonts w:cstheme="minorHAnsi"/>
          <w:u w:val="single"/>
        </w:rPr>
        <w:t>:</w:t>
      </w:r>
    </w:p>
    <w:p w14:paraId="15F44ABA"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 xml:space="preserve">Realizado o acompanhamento das operações do FPSO Pioneiro de Libra, obtendo-se informações importantes de reservatórios, operação da planta de processamento, </w:t>
      </w:r>
      <w:proofErr w:type="spellStart"/>
      <w:r w:rsidRPr="00722DDC">
        <w:rPr>
          <w:rFonts w:cstheme="minorHAnsi"/>
        </w:rPr>
        <w:t>reinjeção</w:t>
      </w:r>
      <w:proofErr w:type="spellEnd"/>
      <w:r w:rsidRPr="00722DDC">
        <w:rPr>
          <w:rFonts w:cstheme="minorHAnsi"/>
        </w:rPr>
        <w:t xml:space="preserve"> de gás e uso de linhas flexíveis.</w:t>
      </w:r>
    </w:p>
    <w:p w14:paraId="57E37C3D"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Conclusão dos poços 9-MRO-06D-RJS e 8-MRO-04-RJS, início da perfuração do poço 7-MRO-07-RJS e a completação do 3-RJS-741-RJS.</w:t>
      </w:r>
    </w:p>
    <w:p w14:paraId="4D22129E"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Assinada a contratação do FPSO de Mero 2 com a empresa SBM (vencedora da licitação) para afretamento e serviços, e iniciada a sua construção.</w:t>
      </w:r>
    </w:p>
    <w:p w14:paraId="2F3104CD"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Aprovado o início do processo de contratação do FPSO de Mero 3 e lançada a licitação no mercado.</w:t>
      </w:r>
    </w:p>
    <w:p w14:paraId="0691F84E"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Iniciada a discussão da contratação do FPSO Mero 4, com previsão de ida ao mercado em 2020.</w:t>
      </w:r>
    </w:p>
    <w:p w14:paraId="28EF74EC" w14:textId="611B911B" w:rsidR="00C2126D" w:rsidRPr="00722DDC" w:rsidRDefault="00C2126D" w:rsidP="00722DDC">
      <w:pPr>
        <w:numPr>
          <w:ilvl w:val="0"/>
          <w:numId w:val="10"/>
        </w:numPr>
        <w:pBdr>
          <w:top w:val="nil"/>
          <w:left w:val="nil"/>
          <w:bottom w:val="nil"/>
          <w:right w:val="nil"/>
          <w:between w:val="nil"/>
        </w:pBdr>
        <w:spacing w:after="0" w:line="276" w:lineRule="auto"/>
        <w:ind w:left="714" w:hanging="357"/>
        <w:jc w:val="both"/>
        <w:rPr>
          <w:rFonts w:cstheme="minorHAnsi"/>
        </w:rPr>
      </w:pPr>
      <w:r w:rsidRPr="00722DDC">
        <w:rPr>
          <w:rFonts w:cstheme="minorHAnsi"/>
        </w:rPr>
        <w:t xml:space="preserve">Realizada </w:t>
      </w:r>
      <w:r w:rsidR="009E4DC9">
        <w:rPr>
          <w:rFonts w:cstheme="minorHAnsi"/>
        </w:rPr>
        <w:t xml:space="preserve">a </w:t>
      </w:r>
      <w:r w:rsidRPr="00722DDC">
        <w:rPr>
          <w:rFonts w:cstheme="minorHAnsi"/>
        </w:rPr>
        <w:t>auditoria de custo em óleo referente ao exercício de 2017.</w:t>
      </w:r>
    </w:p>
    <w:p w14:paraId="05653823" w14:textId="77777777" w:rsidR="00C2126D" w:rsidRPr="00722DDC" w:rsidRDefault="00C2126D" w:rsidP="00722DDC">
      <w:pPr>
        <w:numPr>
          <w:ilvl w:val="0"/>
          <w:numId w:val="10"/>
        </w:numPr>
        <w:pBdr>
          <w:top w:val="nil"/>
          <w:left w:val="nil"/>
          <w:bottom w:val="nil"/>
          <w:right w:val="nil"/>
          <w:between w:val="nil"/>
        </w:pBdr>
        <w:spacing w:after="0" w:line="276" w:lineRule="auto"/>
        <w:ind w:left="714" w:hanging="357"/>
        <w:jc w:val="both"/>
        <w:rPr>
          <w:rFonts w:cstheme="minorHAnsi"/>
        </w:rPr>
      </w:pPr>
      <w:r w:rsidRPr="00722DDC">
        <w:rPr>
          <w:rFonts w:cstheme="minorHAnsi"/>
        </w:rPr>
        <w:t>Iniciado o processo de reconhecimento de custos e de acompanhamento da produção utilizando o Sistema de Gestão de Gastos da Partilha de Produção (SGPP).</w:t>
      </w:r>
    </w:p>
    <w:p w14:paraId="17274540"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 xml:space="preserve">Concluída a aquisição sísmica 4D operando com o sistema </w:t>
      </w:r>
      <w:proofErr w:type="spellStart"/>
      <w:r w:rsidRPr="00722DDC">
        <w:rPr>
          <w:rFonts w:cstheme="minorHAnsi"/>
        </w:rPr>
        <w:t>Ocean</w:t>
      </w:r>
      <w:proofErr w:type="spellEnd"/>
      <w:r w:rsidRPr="00722DDC">
        <w:rPr>
          <w:rFonts w:cstheme="minorHAnsi"/>
        </w:rPr>
        <w:t xml:space="preserve"> </w:t>
      </w:r>
      <w:proofErr w:type="spellStart"/>
      <w:r w:rsidRPr="00722DDC">
        <w:rPr>
          <w:rFonts w:cstheme="minorHAnsi"/>
        </w:rPr>
        <w:t>Bottom</w:t>
      </w:r>
      <w:proofErr w:type="spellEnd"/>
      <w:r w:rsidRPr="00722DDC">
        <w:rPr>
          <w:rFonts w:cstheme="minorHAnsi"/>
        </w:rPr>
        <w:t xml:space="preserve"> Nodes (OBN).</w:t>
      </w:r>
    </w:p>
    <w:p w14:paraId="58985402"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Validada a descoberta (Plano de Avaliação de Descoberta – PAD) e solicitada ao MME e à ANP a extensão da fase exploratória das áreas central e sudeste por mais cinco anos.</w:t>
      </w:r>
    </w:p>
    <w:p w14:paraId="66DBAD90"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 xml:space="preserve">Atingida, pelo FPSO Pioneiro de Libra, uma produção acumulada de 22,8 milhões de barris de óleo até o fim de 2019, sendo 3,4 milhões de barris destinados </w:t>
      </w:r>
      <w:sdt>
        <w:sdtPr>
          <w:rPr>
            <w:rFonts w:cstheme="minorHAnsi"/>
          </w:rPr>
          <w:tag w:val="goog_rdk_34"/>
          <w:id w:val="-1174879701"/>
        </w:sdtPr>
        <w:sdtEndPr/>
        <w:sdtContent>
          <w:r w:rsidRPr="00722DDC">
            <w:rPr>
              <w:rFonts w:cstheme="minorHAnsi"/>
            </w:rPr>
            <w:t>à</w:t>
          </w:r>
        </w:sdtContent>
      </w:sdt>
      <w:r w:rsidRPr="00722DDC">
        <w:rPr>
          <w:rFonts w:cstheme="minorHAnsi"/>
        </w:rPr>
        <w:t xml:space="preserve"> União (excedente de óleo da União).</w:t>
      </w:r>
    </w:p>
    <w:p w14:paraId="149E492D" w14:textId="799AA7A0" w:rsidR="00C2126D" w:rsidRPr="00722DDC" w:rsidRDefault="00C2126D" w:rsidP="00722DDC">
      <w:pPr>
        <w:pStyle w:val="PargrafodaLista"/>
        <w:widowControl/>
        <w:numPr>
          <w:ilvl w:val="0"/>
          <w:numId w:val="10"/>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76" w:lineRule="auto"/>
        <w:jc w:val="both"/>
        <w:textAlignment w:val="baseline"/>
        <w:rPr>
          <w:rFonts w:asciiTheme="minorHAnsi" w:eastAsia="Times New Roman" w:hAnsiTheme="minorHAnsi" w:cstheme="minorHAnsi"/>
        </w:rPr>
      </w:pPr>
      <w:r w:rsidRPr="00722DDC">
        <w:rPr>
          <w:rFonts w:asciiTheme="minorHAnsi" w:eastAsia="Times New Roman" w:hAnsiTheme="minorHAnsi" w:cstheme="minorHAnsi"/>
          <w:color w:val="201F1E"/>
        </w:rPr>
        <w:t>Dada continuidade a vários projetos de tecnologia, com destaque para</w:t>
      </w:r>
      <w:r w:rsidR="009E4DC9">
        <w:rPr>
          <w:rFonts w:asciiTheme="minorHAnsi" w:eastAsia="Times New Roman" w:hAnsiTheme="minorHAnsi" w:cstheme="minorHAnsi"/>
          <w:color w:val="201F1E"/>
        </w:rPr>
        <w:t xml:space="preserve"> o</w:t>
      </w:r>
      <w:r w:rsidRPr="00722DDC">
        <w:rPr>
          <w:rFonts w:asciiTheme="minorHAnsi" w:eastAsia="Times New Roman" w:hAnsiTheme="minorHAnsi" w:cstheme="minorHAnsi"/>
          <w:color w:val="201F1E"/>
        </w:rPr>
        <w:t xml:space="preserve"> </w:t>
      </w:r>
      <w:r w:rsidRPr="00722DDC">
        <w:rPr>
          <w:rFonts w:asciiTheme="minorHAnsi" w:eastAsia="Times New Roman" w:hAnsiTheme="minorHAnsi" w:cstheme="minorHAnsi"/>
        </w:rPr>
        <w:t xml:space="preserve">Sistema </w:t>
      </w:r>
      <w:proofErr w:type="spellStart"/>
      <w:r w:rsidRPr="00722DDC">
        <w:rPr>
          <w:rFonts w:asciiTheme="minorHAnsi" w:eastAsia="Times New Roman" w:hAnsiTheme="minorHAnsi" w:cstheme="minorHAnsi"/>
        </w:rPr>
        <w:t>Hi-Sep</w:t>
      </w:r>
      <w:proofErr w:type="spellEnd"/>
      <w:r w:rsidRPr="00722DDC">
        <w:rPr>
          <w:rFonts w:asciiTheme="minorHAnsi" w:eastAsia="Times New Roman" w:hAnsiTheme="minorHAnsi" w:cstheme="minorHAnsi"/>
        </w:rPr>
        <w:t xml:space="preserve">, Cargo </w:t>
      </w:r>
      <w:proofErr w:type="spellStart"/>
      <w:r w:rsidRPr="00722DDC">
        <w:rPr>
          <w:rFonts w:asciiTheme="minorHAnsi" w:eastAsia="Times New Roman" w:hAnsiTheme="minorHAnsi" w:cstheme="minorHAnsi"/>
        </w:rPr>
        <w:t>Transfer</w:t>
      </w:r>
      <w:proofErr w:type="spellEnd"/>
      <w:r w:rsidRPr="00722DDC">
        <w:rPr>
          <w:rFonts w:asciiTheme="minorHAnsi" w:eastAsia="Times New Roman" w:hAnsiTheme="minorHAnsi" w:cstheme="minorHAnsi"/>
        </w:rPr>
        <w:t xml:space="preserve"> </w:t>
      </w:r>
      <w:proofErr w:type="spellStart"/>
      <w:r w:rsidRPr="00722DDC">
        <w:rPr>
          <w:rFonts w:asciiTheme="minorHAnsi" w:eastAsia="Times New Roman" w:hAnsiTheme="minorHAnsi" w:cstheme="minorHAnsi"/>
        </w:rPr>
        <w:t>Vessel</w:t>
      </w:r>
      <w:proofErr w:type="spellEnd"/>
      <w:r w:rsidRPr="00722DDC">
        <w:rPr>
          <w:rFonts w:asciiTheme="minorHAnsi" w:eastAsia="Times New Roman" w:hAnsiTheme="minorHAnsi" w:cstheme="minorHAnsi"/>
        </w:rPr>
        <w:t xml:space="preserve"> (CTV), </w:t>
      </w:r>
      <w:proofErr w:type="spellStart"/>
      <w:r w:rsidRPr="00722DDC">
        <w:rPr>
          <w:rFonts w:asciiTheme="minorHAnsi" w:eastAsia="Times New Roman" w:hAnsiTheme="minorHAnsi" w:cstheme="minorHAnsi"/>
        </w:rPr>
        <w:t>Carbon</w:t>
      </w:r>
      <w:proofErr w:type="spellEnd"/>
      <w:r w:rsidRPr="00722DDC">
        <w:rPr>
          <w:rFonts w:asciiTheme="minorHAnsi" w:eastAsia="Times New Roman" w:hAnsiTheme="minorHAnsi" w:cstheme="minorHAnsi"/>
        </w:rPr>
        <w:t xml:space="preserve"> Molecular </w:t>
      </w:r>
      <w:proofErr w:type="spellStart"/>
      <w:r w:rsidRPr="00722DDC">
        <w:rPr>
          <w:rFonts w:asciiTheme="minorHAnsi" w:eastAsia="Times New Roman" w:hAnsiTheme="minorHAnsi" w:cstheme="minorHAnsi"/>
        </w:rPr>
        <w:t>Sieves</w:t>
      </w:r>
      <w:proofErr w:type="spellEnd"/>
      <w:r w:rsidRPr="00722DDC">
        <w:rPr>
          <w:rFonts w:asciiTheme="minorHAnsi" w:eastAsia="Times New Roman" w:hAnsiTheme="minorHAnsi" w:cstheme="minorHAnsi"/>
        </w:rPr>
        <w:t xml:space="preserve">, Libra Digital: Digital </w:t>
      </w:r>
      <w:proofErr w:type="spellStart"/>
      <w:r w:rsidRPr="00722DDC">
        <w:rPr>
          <w:rFonts w:asciiTheme="minorHAnsi" w:eastAsia="Times New Roman" w:hAnsiTheme="minorHAnsi" w:cstheme="minorHAnsi"/>
        </w:rPr>
        <w:t>Twins</w:t>
      </w:r>
      <w:proofErr w:type="spellEnd"/>
      <w:r w:rsidRPr="00722DDC">
        <w:rPr>
          <w:rFonts w:asciiTheme="minorHAnsi" w:eastAsia="Times New Roman" w:hAnsiTheme="minorHAnsi" w:cstheme="minorHAnsi"/>
        </w:rPr>
        <w:t xml:space="preserve">, energia eólica </w:t>
      </w:r>
      <w:r w:rsidRPr="00722DDC">
        <w:rPr>
          <w:rFonts w:asciiTheme="minorHAnsi" w:eastAsia="Times New Roman" w:hAnsiTheme="minorHAnsi" w:cstheme="minorHAnsi"/>
          <w:i/>
        </w:rPr>
        <w:t>offshore</w:t>
      </w:r>
      <w:r w:rsidRPr="00722DDC">
        <w:rPr>
          <w:rFonts w:asciiTheme="minorHAnsi" w:eastAsia="Times New Roman" w:hAnsiTheme="minorHAnsi" w:cstheme="minorHAnsi"/>
        </w:rPr>
        <w:t xml:space="preserve">, </w:t>
      </w:r>
      <w:proofErr w:type="spellStart"/>
      <w:r w:rsidRPr="00722DDC">
        <w:rPr>
          <w:rFonts w:asciiTheme="minorHAnsi" w:eastAsia="Times New Roman" w:hAnsiTheme="minorHAnsi" w:cstheme="minorHAnsi"/>
          <w:i/>
        </w:rPr>
        <w:t>human</w:t>
      </w:r>
      <w:proofErr w:type="spellEnd"/>
      <w:r w:rsidRPr="00722DDC">
        <w:rPr>
          <w:rFonts w:asciiTheme="minorHAnsi" w:eastAsia="Times New Roman" w:hAnsiTheme="minorHAnsi" w:cstheme="minorHAnsi"/>
          <w:i/>
        </w:rPr>
        <w:t xml:space="preserve"> </w:t>
      </w:r>
      <w:proofErr w:type="spellStart"/>
      <w:r w:rsidRPr="00722DDC">
        <w:rPr>
          <w:rFonts w:asciiTheme="minorHAnsi" w:eastAsia="Times New Roman" w:hAnsiTheme="minorHAnsi" w:cstheme="minorHAnsi"/>
          <w:i/>
        </w:rPr>
        <w:t>factors</w:t>
      </w:r>
      <w:proofErr w:type="spellEnd"/>
      <w:r w:rsidRPr="00722DDC">
        <w:rPr>
          <w:rFonts w:asciiTheme="minorHAnsi" w:eastAsia="Times New Roman" w:hAnsiTheme="minorHAnsi" w:cstheme="minorHAnsi"/>
        </w:rPr>
        <w:t xml:space="preserve">, emprego do supercomputador Santos Dumont e sistema de monitoramento de </w:t>
      </w:r>
      <w:proofErr w:type="spellStart"/>
      <w:r w:rsidRPr="00722DDC">
        <w:rPr>
          <w:rFonts w:asciiTheme="minorHAnsi" w:eastAsia="Times New Roman" w:hAnsiTheme="minorHAnsi" w:cstheme="minorHAnsi"/>
          <w:i/>
        </w:rPr>
        <w:t>risers</w:t>
      </w:r>
      <w:proofErr w:type="spellEnd"/>
      <w:r w:rsidRPr="00722DDC">
        <w:rPr>
          <w:rFonts w:asciiTheme="minorHAnsi" w:eastAsia="Times New Roman" w:hAnsiTheme="minorHAnsi" w:cstheme="minorHAnsi"/>
        </w:rPr>
        <w:t>.</w:t>
      </w:r>
    </w:p>
    <w:p w14:paraId="08A04136" w14:textId="77777777" w:rsidR="001E49B5" w:rsidRDefault="001E49B5"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rPr>
      </w:pPr>
    </w:p>
    <w:p w14:paraId="5B28608B" w14:textId="74A2122D" w:rsidR="00C2126D" w:rsidRPr="00C00AE5"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rPr>
      </w:pPr>
      <w:r w:rsidRPr="00C00AE5">
        <w:rPr>
          <w:rFonts w:cstheme="minorHAnsi"/>
          <w:b/>
          <w:bCs/>
        </w:rPr>
        <w:t>Contratos das 2ª e 3ª Rodadas de Partilha de Produção</w:t>
      </w:r>
    </w:p>
    <w:p w14:paraId="370C8CD6"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rPr>
      </w:pPr>
      <w:r w:rsidRPr="00722DDC">
        <w:rPr>
          <w:rFonts w:cstheme="minorHAnsi"/>
          <w:bCs/>
        </w:rPr>
        <w:t xml:space="preserve">Bloco: </w:t>
      </w:r>
      <w:r w:rsidRPr="00722DDC">
        <w:rPr>
          <w:rFonts w:cstheme="minorHAnsi"/>
          <w:bCs/>
          <w:i/>
        </w:rPr>
        <w:t>Sul do Gato do Mato</w:t>
      </w:r>
    </w:p>
    <w:p w14:paraId="7783CD7F"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rPr>
      </w:pPr>
      <w:r w:rsidRPr="00722DDC">
        <w:rPr>
          <w:rFonts w:cstheme="minorHAnsi"/>
          <w:bCs/>
        </w:rPr>
        <w:t xml:space="preserve">Contratados: </w:t>
      </w:r>
      <w:r w:rsidRPr="00722DDC">
        <w:rPr>
          <w:rFonts w:cstheme="minorHAnsi"/>
          <w:bCs/>
          <w:i/>
          <w:iCs/>
        </w:rPr>
        <w:t xml:space="preserve">Shell (operador, 50%), </w:t>
      </w:r>
      <w:proofErr w:type="spellStart"/>
      <w:r w:rsidRPr="00722DDC">
        <w:rPr>
          <w:rFonts w:cstheme="minorHAnsi"/>
          <w:bCs/>
          <w:i/>
          <w:iCs/>
        </w:rPr>
        <w:t>Ecopetrol</w:t>
      </w:r>
      <w:proofErr w:type="spellEnd"/>
      <w:r w:rsidRPr="00722DDC">
        <w:rPr>
          <w:rFonts w:cstheme="minorHAnsi"/>
          <w:bCs/>
          <w:i/>
          <w:iCs/>
        </w:rPr>
        <w:t xml:space="preserve"> (30%) </w:t>
      </w:r>
      <w:proofErr w:type="gramStart"/>
      <w:r w:rsidRPr="00722DDC">
        <w:rPr>
          <w:rFonts w:cstheme="minorHAnsi"/>
          <w:bCs/>
          <w:i/>
          <w:iCs/>
        </w:rPr>
        <w:t>e Total</w:t>
      </w:r>
      <w:proofErr w:type="gramEnd"/>
      <w:r w:rsidRPr="00722DDC">
        <w:rPr>
          <w:rFonts w:cstheme="minorHAnsi"/>
          <w:bCs/>
          <w:i/>
          <w:iCs/>
        </w:rPr>
        <w:t xml:space="preserve"> (20%)</w:t>
      </w:r>
    </w:p>
    <w:p w14:paraId="166F8696"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rPr>
      </w:pPr>
      <w:r w:rsidRPr="00722DDC">
        <w:rPr>
          <w:rFonts w:cstheme="minorHAnsi"/>
          <w:bCs/>
        </w:rPr>
        <w:t xml:space="preserve">Bônus e excedente em óleo da União: </w:t>
      </w:r>
      <w:r w:rsidRPr="00722DDC">
        <w:rPr>
          <w:rFonts w:cstheme="minorHAnsi"/>
          <w:bCs/>
          <w:i/>
        </w:rPr>
        <w:t>R$ 100 milhões e 11,53%</w:t>
      </w:r>
    </w:p>
    <w:p w14:paraId="200B2967" w14:textId="62E5C0BB"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200E1BC3" w14:textId="77777777" w:rsidR="00C2126D" w:rsidRPr="00722DDC" w:rsidRDefault="00C2126D" w:rsidP="00722DDC">
      <w:pPr>
        <w:pStyle w:val="NormalWeb"/>
        <w:numPr>
          <w:ilvl w:val="0"/>
          <w:numId w:val="12"/>
        </w:numPr>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lastRenderedPageBreak/>
        <w:t xml:space="preserve">Perfurado o poço </w:t>
      </w:r>
      <w:proofErr w:type="spellStart"/>
      <w:r w:rsidRPr="00722DDC">
        <w:rPr>
          <w:rFonts w:asciiTheme="minorHAnsi" w:hAnsiTheme="minorHAnsi" w:cstheme="minorHAnsi"/>
          <w:sz w:val="22"/>
          <w:szCs w:val="22"/>
        </w:rPr>
        <w:t>GdM</w:t>
      </w:r>
      <w:proofErr w:type="spellEnd"/>
      <w:r w:rsidRPr="00722DDC">
        <w:rPr>
          <w:rFonts w:asciiTheme="minorHAnsi" w:hAnsiTheme="minorHAnsi" w:cstheme="minorHAnsi"/>
          <w:sz w:val="22"/>
          <w:szCs w:val="22"/>
        </w:rPr>
        <w:t xml:space="preserve"> #3, parte do Programa Exploratório Mínimo (PEM), obtendo resultados melhores do que o esperado. Tal fato motivou a inclusão de um poço adicional no PAD conjunto em 2020, para confirmação de continuidade das características </w:t>
      </w:r>
      <w:proofErr w:type="spellStart"/>
      <w:r w:rsidRPr="00722DDC">
        <w:rPr>
          <w:rFonts w:asciiTheme="minorHAnsi" w:hAnsiTheme="minorHAnsi" w:cstheme="minorHAnsi"/>
          <w:sz w:val="22"/>
          <w:szCs w:val="22"/>
        </w:rPr>
        <w:t>permoporosas</w:t>
      </w:r>
      <w:proofErr w:type="spellEnd"/>
      <w:r w:rsidRPr="00722DDC">
        <w:rPr>
          <w:rFonts w:asciiTheme="minorHAnsi" w:hAnsiTheme="minorHAnsi" w:cstheme="minorHAnsi"/>
          <w:sz w:val="22"/>
          <w:szCs w:val="22"/>
        </w:rPr>
        <w:t xml:space="preserve"> do reservatório na direção norte.</w:t>
      </w:r>
    </w:p>
    <w:p w14:paraId="584BB95E" w14:textId="77777777" w:rsidR="00C2126D" w:rsidRPr="00722DDC" w:rsidRDefault="00C2126D" w:rsidP="00722DDC">
      <w:pPr>
        <w:pStyle w:val="NormalWeb"/>
        <w:numPr>
          <w:ilvl w:val="0"/>
          <w:numId w:val="12"/>
        </w:numPr>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 xml:space="preserve">Concluída a negociação do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-AIP </w:t>
      </w:r>
      <w:r w:rsidRPr="00722DDC">
        <w:rPr>
          <w:rFonts w:asciiTheme="minorHAnsi" w:hAnsiTheme="minorHAnsi" w:cstheme="minorHAnsi"/>
          <w:color w:val="000000"/>
          <w:sz w:val="22"/>
          <w:szCs w:val="22"/>
          <w:bdr w:val="none" w:sz="0" w:space="0" w:color="auto" w:frame="1"/>
        </w:rPr>
        <w:t xml:space="preserve">entre o CPP de </w:t>
      </w:r>
      <w:proofErr w:type="spellStart"/>
      <w:r w:rsidRPr="00722DDC">
        <w:rPr>
          <w:rFonts w:asciiTheme="minorHAnsi" w:hAnsiTheme="minorHAnsi" w:cstheme="minorHAnsi"/>
          <w:color w:val="000000"/>
          <w:sz w:val="22"/>
          <w:szCs w:val="22"/>
          <w:bdr w:val="none" w:sz="0" w:space="0" w:color="auto" w:frame="1"/>
        </w:rPr>
        <w:t>SdGM</w:t>
      </w:r>
      <w:proofErr w:type="spellEnd"/>
      <w:r w:rsidRPr="00722DDC">
        <w:rPr>
          <w:rFonts w:asciiTheme="minorHAnsi" w:hAnsiTheme="minorHAnsi" w:cstheme="minorHAnsi"/>
          <w:color w:val="000000"/>
          <w:sz w:val="22"/>
          <w:szCs w:val="22"/>
          <w:bdr w:val="none" w:sz="0" w:space="0" w:color="auto" w:frame="1"/>
        </w:rPr>
        <w:t xml:space="preserve"> e a concessão do BM-S-54 </w:t>
      </w:r>
      <w:r w:rsidRPr="00722DDC">
        <w:rPr>
          <w:rFonts w:asciiTheme="minorHAnsi" w:hAnsiTheme="minorHAnsi" w:cstheme="minorHAnsi"/>
          <w:sz w:val="22"/>
          <w:szCs w:val="22"/>
        </w:rPr>
        <w:t>e do Acordo de Confidencialidade com o BM-S-54.</w:t>
      </w:r>
    </w:p>
    <w:p w14:paraId="6C132775" w14:textId="77777777" w:rsidR="00C2126D" w:rsidRPr="00722DDC" w:rsidRDefault="00C2126D" w:rsidP="00722DDC">
      <w:pPr>
        <w:pStyle w:val="NormalWeb"/>
        <w:numPr>
          <w:ilvl w:val="0"/>
          <w:numId w:val="12"/>
        </w:numPr>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 xml:space="preserve">Aprovada a estratégia de contratação do futuro FPSO para a produção da jazida compartilhada. </w:t>
      </w:r>
    </w:p>
    <w:p w14:paraId="35DDAB51" w14:textId="77777777" w:rsidR="00C2126D" w:rsidRPr="00722DDC" w:rsidRDefault="00C2126D" w:rsidP="00722DDC">
      <w:pPr>
        <w:pStyle w:val="PargrafodaLista"/>
        <w:widowControl/>
        <w:numPr>
          <w:ilvl w:val="0"/>
          <w:numId w:val="12"/>
        </w:numPr>
        <w:spacing w:line="276" w:lineRule="auto"/>
        <w:jc w:val="both"/>
        <w:rPr>
          <w:rFonts w:asciiTheme="minorHAnsi" w:hAnsiTheme="minorHAnsi" w:cstheme="minorHAnsi"/>
        </w:rPr>
      </w:pPr>
      <w:r w:rsidRPr="00722DDC">
        <w:rPr>
          <w:rFonts w:asciiTheme="minorHAnsi" w:hAnsiTheme="minorHAnsi" w:cstheme="minorHAnsi"/>
        </w:rPr>
        <w:t>Iniciada a aquisição da sísmica OBN.</w:t>
      </w:r>
    </w:p>
    <w:p w14:paraId="140206FD" w14:textId="77777777" w:rsidR="00C2126D" w:rsidRPr="00722DDC" w:rsidRDefault="00C2126D" w:rsidP="00722DDC">
      <w:pPr>
        <w:pStyle w:val="PargrafodaLista"/>
        <w:widowControl/>
        <w:numPr>
          <w:ilvl w:val="0"/>
          <w:numId w:val="12"/>
        </w:numPr>
        <w:spacing w:line="276" w:lineRule="auto"/>
        <w:jc w:val="both"/>
        <w:rPr>
          <w:rFonts w:asciiTheme="minorHAnsi" w:hAnsiTheme="minorHAnsi" w:cstheme="minorHAnsi"/>
        </w:rPr>
      </w:pPr>
      <w:r w:rsidRPr="00722DDC">
        <w:rPr>
          <w:rFonts w:asciiTheme="minorHAnsi" w:hAnsiTheme="minorHAnsi" w:cstheme="minorHAnsi"/>
        </w:rPr>
        <w:t>Iniciado o processo de reconhecimento de custos utilizando o SGPP.</w:t>
      </w:r>
    </w:p>
    <w:p w14:paraId="2CD2D31B" w14:textId="77777777" w:rsidR="00C2126D" w:rsidRPr="00722DDC" w:rsidRDefault="00C2126D" w:rsidP="00722DDC">
      <w:pPr>
        <w:pBdr>
          <w:top w:val="none" w:sz="0" w:space="31" w:color="000000"/>
          <w:left w:val="none" w:sz="0" w:space="0" w:color="000000"/>
          <w:bottom w:val="none" w:sz="0" w:space="0" w:color="000000"/>
          <w:right w:val="none" w:sz="0" w:space="0" w:color="000000"/>
          <w:between w:val="none" w:sz="0" w:space="0" w:color="000000"/>
        </w:pBdr>
        <w:spacing w:line="276" w:lineRule="auto"/>
        <w:jc w:val="both"/>
        <w:rPr>
          <w:rFonts w:cstheme="minorHAnsi"/>
          <w:i/>
          <w:iCs/>
        </w:rPr>
      </w:pPr>
      <w:r w:rsidRPr="00722DDC">
        <w:rPr>
          <w:rFonts w:cstheme="minorHAnsi"/>
        </w:rPr>
        <w:t xml:space="preserve">Bloco: </w:t>
      </w:r>
      <w:r w:rsidRPr="00722DDC">
        <w:rPr>
          <w:rFonts w:cstheme="minorHAnsi"/>
          <w:i/>
          <w:iCs/>
        </w:rPr>
        <w:t xml:space="preserve">Entorno de </w:t>
      </w:r>
      <w:proofErr w:type="spellStart"/>
      <w:r w:rsidRPr="00722DDC">
        <w:rPr>
          <w:rFonts w:cstheme="minorHAnsi"/>
          <w:i/>
          <w:iCs/>
        </w:rPr>
        <w:t>Sapinhoá</w:t>
      </w:r>
      <w:proofErr w:type="spellEnd"/>
    </w:p>
    <w:p w14:paraId="2EF97951" w14:textId="77777777" w:rsidR="00C2126D" w:rsidRPr="00722DDC" w:rsidRDefault="00C2126D" w:rsidP="00722DDC">
      <w:pPr>
        <w:pBdr>
          <w:top w:val="none" w:sz="0" w:space="31"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Contratados: </w:t>
      </w:r>
      <w:r w:rsidRPr="00722DDC">
        <w:rPr>
          <w:rFonts w:cstheme="minorHAnsi"/>
          <w:i/>
        </w:rPr>
        <w:t>Petrobras (operador, 45%), Shell (30%) e Repsol (25%)</w:t>
      </w:r>
    </w:p>
    <w:p w14:paraId="33AFEF58" w14:textId="77777777" w:rsidR="00C2126D" w:rsidRPr="00722DDC" w:rsidRDefault="00C2126D" w:rsidP="00722DDC">
      <w:pPr>
        <w:pBdr>
          <w:top w:val="none" w:sz="0" w:space="31"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R$ 200 milhões e 80%</w:t>
      </w:r>
    </w:p>
    <w:p w14:paraId="7F7DD16A" w14:textId="07C9C810"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2B4DDF2C" w14:textId="77777777" w:rsidR="00C2126D" w:rsidRPr="00722DDC" w:rsidRDefault="00C2126D" w:rsidP="00722DDC">
      <w:pPr>
        <w:pStyle w:val="NormalWeb"/>
        <w:numPr>
          <w:ilvl w:val="0"/>
          <w:numId w:val="13"/>
        </w:numPr>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Aprovada a locação do poço ADR-NE para aquisição de dados de reservatório</w:t>
      </w:r>
      <w:r w:rsidRPr="00722DDC">
        <w:rPr>
          <w:rFonts w:asciiTheme="minorHAnsi" w:eastAsia="Calibri" w:hAnsiTheme="minorHAnsi" w:cstheme="minorHAnsi"/>
          <w:color w:val="000000"/>
          <w:sz w:val="22"/>
          <w:szCs w:val="22"/>
        </w:rPr>
        <w:t>.</w:t>
      </w:r>
    </w:p>
    <w:p w14:paraId="65776490" w14:textId="77777777" w:rsidR="00C2126D" w:rsidRPr="00722DDC" w:rsidRDefault="00C2126D" w:rsidP="00722DDC">
      <w:pPr>
        <w:pStyle w:val="NormalWeb"/>
        <w:numPr>
          <w:ilvl w:val="0"/>
          <w:numId w:val="13"/>
        </w:numPr>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Aprovada a tabela de HH para vigência em 2019</w:t>
      </w:r>
      <w:r w:rsidRPr="00722DDC">
        <w:rPr>
          <w:rFonts w:asciiTheme="minorHAnsi" w:eastAsia="Calibri" w:hAnsiTheme="minorHAnsi" w:cstheme="minorHAnsi"/>
          <w:color w:val="000000"/>
          <w:sz w:val="22"/>
          <w:szCs w:val="22"/>
        </w:rPr>
        <w:t>.</w:t>
      </w:r>
    </w:p>
    <w:p w14:paraId="3059D064" w14:textId="77777777" w:rsidR="00C2126D" w:rsidRPr="00722DDC" w:rsidRDefault="00C2126D" w:rsidP="00722DDC">
      <w:pPr>
        <w:pStyle w:val="NormalWeb"/>
        <w:numPr>
          <w:ilvl w:val="0"/>
          <w:numId w:val="13"/>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line="276" w:lineRule="auto"/>
        <w:jc w:val="both"/>
        <w:rPr>
          <w:rFonts w:asciiTheme="minorHAnsi" w:hAnsiTheme="minorHAnsi" w:cstheme="minorHAnsi"/>
          <w:b/>
          <w:sz w:val="22"/>
          <w:szCs w:val="22"/>
        </w:rPr>
      </w:pPr>
      <w:r w:rsidRPr="00722DDC">
        <w:rPr>
          <w:rFonts w:asciiTheme="minorHAnsi" w:hAnsiTheme="minorHAnsi" w:cstheme="minorHAnsi"/>
          <w:sz w:val="22"/>
          <w:szCs w:val="22"/>
        </w:rPr>
        <w:t>Realizado o reconhecimento de custos e cálculo do excedente em óleo em curso.</w:t>
      </w:r>
    </w:p>
    <w:p w14:paraId="009C4B46" w14:textId="77777777" w:rsidR="00C2126D" w:rsidRPr="00722DDC" w:rsidRDefault="00C2126D" w:rsidP="00722DDC">
      <w:pPr>
        <w:pStyle w:val="NormalWeb"/>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line="276" w:lineRule="auto"/>
        <w:ind w:left="720"/>
        <w:jc w:val="both"/>
        <w:rPr>
          <w:rFonts w:asciiTheme="minorHAnsi" w:hAnsiTheme="minorHAnsi" w:cstheme="minorHAnsi"/>
          <w:b/>
          <w:sz w:val="22"/>
          <w:szCs w:val="22"/>
        </w:rPr>
      </w:pPr>
    </w:p>
    <w:p w14:paraId="6BA7E3CF" w14:textId="77777777" w:rsidR="004B2817" w:rsidRPr="00722DDC" w:rsidRDefault="004B2817" w:rsidP="00722DDC">
      <w:pPr>
        <w:shd w:val="clear" w:color="auto" w:fill="FFFFFF"/>
        <w:spacing w:line="276" w:lineRule="auto"/>
        <w:jc w:val="both"/>
        <w:textAlignment w:val="baseline"/>
        <w:rPr>
          <w:rFonts w:eastAsia="Times New Roman" w:cstheme="minorHAnsi"/>
          <w:b/>
          <w:bCs/>
        </w:rPr>
      </w:pPr>
    </w:p>
    <w:p w14:paraId="07005FBA" w14:textId="142507C6"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rPr>
        <w:t>Bloco: </w:t>
      </w:r>
      <w:r w:rsidRPr="00722DDC">
        <w:rPr>
          <w:rFonts w:eastAsia="Times New Roman" w:cstheme="minorHAnsi"/>
          <w:i/>
          <w:iCs/>
        </w:rPr>
        <w:t>Norte de Carcará</w:t>
      </w:r>
    </w:p>
    <w:p w14:paraId="346504E4" w14:textId="77777777"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rPr>
        <w:t>Contratados: </w:t>
      </w:r>
      <w:proofErr w:type="spellStart"/>
      <w:r w:rsidRPr="00722DDC">
        <w:rPr>
          <w:rFonts w:eastAsia="Times New Roman" w:cstheme="minorHAnsi"/>
          <w:i/>
          <w:iCs/>
        </w:rPr>
        <w:t>Equinor</w:t>
      </w:r>
      <w:proofErr w:type="spellEnd"/>
      <w:r w:rsidRPr="00722DDC">
        <w:rPr>
          <w:rFonts w:eastAsia="Times New Roman" w:cstheme="minorHAnsi"/>
          <w:i/>
          <w:iCs/>
        </w:rPr>
        <w:t> (operador, 40%), Exxon (40%) e </w:t>
      </w:r>
      <w:proofErr w:type="spellStart"/>
      <w:r w:rsidRPr="00722DDC">
        <w:rPr>
          <w:rFonts w:eastAsia="Times New Roman" w:cstheme="minorHAnsi"/>
          <w:i/>
          <w:iCs/>
        </w:rPr>
        <w:t>Petrogal</w:t>
      </w:r>
      <w:proofErr w:type="spellEnd"/>
      <w:r w:rsidRPr="00722DDC">
        <w:rPr>
          <w:rFonts w:eastAsia="Times New Roman" w:cstheme="minorHAnsi"/>
          <w:i/>
          <w:iCs/>
        </w:rPr>
        <w:t> (20%)</w:t>
      </w:r>
      <w:r w:rsidRPr="00722DDC">
        <w:rPr>
          <w:rFonts w:eastAsia="Times New Roman" w:cstheme="minorHAnsi"/>
        </w:rPr>
        <w:t> </w:t>
      </w:r>
    </w:p>
    <w:p w14:paraId="22796527" w14:textId="77777777"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rPr>
        <w:t>Bônus e percentual de excedente em óleo: </w:t>
      </w:r>
      <w:r w:rsidRPr="00722DDC">
        <w:rPr>
          <w:rFonts w:eastAsia="Times New Roman" w:cstheme="minorHAnsi"/>
          <w:i/>
          <w:iCs/>
        </w:rPr>
        <w:t>R$ 3 bilhões e 67,12% </w:t>
      </w:r>
      <w:r w:rsidRPr="00722DDC">
        <w:rPr>
          <w:rFonts w:eastAsia="Times New Roman" w:cstheme="minorHAnsi"/>
        </w:rPr>
        <w:t> </w:t>
      </w:r>
    </w:p>
    <w:p w14:paraId="3D38C99E" w14:textId="3E33549E"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u w:val="single"/>
        </w:rPr>
        <w:t>Principais marcos</w:t>
      </w:r>
      <w:r w:rsidR="001E49B5">
        <w:rPr>
          <w:rFonts w:eastAsia="Times New Roman" w:cstheme="minorHAnsi"/>
          <w:u w:val="single"/>
        </w:rPr>
        <w:t>:</w:t>
      </w:r>
      <w:r w:rsidRPr="00722DDC">
        <w:rPr>
          <w:rFonts w:eastAsia="Times New Roman" w:cstheme="minorHAnsi"/>
        </w:rPr>
        <w:t> </w:t>
      </w:r>
    </w:p>
    <w:p w14:paraId="44980635" w14:textId="49C3883D" w:rsidR="0023223B" w:rsidRPr="0023223B" w:rsidRDefault="00C2126D" w:rsidP="0023223B">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Dada continuidade ao processo de avaliação exploratória da área.</w:t>
      </w:r>
    </w:p>
    <w:p w14:paraId="357506C4" w14:textId="77777777" w:rsidR="00260D67" w:rsidRPr="00722DDC" w:rsidRDefault="00260D67" w:rsidP="00260D67">
      <w:pPr>
        <w:pStyle w:val="PargrafodaLista"/>
        <w:numPr>
          <w:ilvl w:val="0"/>
          <w:numId w:val="10"/>
        </w:numPr>
        <w:shd w:val="clear" w:color="auto" w:fill="FFFFFF"/>
        <w:spacing w:line="276" w:lineRule="auto"/>
        <w:jc w:val="both"/>
        <w:rPr>
          <w:rFonts w:asciiTheme="minorHAnsi" w:eastAsia="Times New Roman" w:hAnsiTheme="minorHAnsi" w:cstheme="minorHAnsi"/>
        </w:rPr>
      </w:pPr>
      <w:r w:rsidRPr="00722DDC">
        <w:rPr>
          <w:rFonts w:asciiTheme="minorHAnsi" w:eastAsia="Times New Roman" w:hAnsiTheme="minorHAnsi" w:cstheme="minorHAnsi"/>
        </w:rPr>
        <w:t>Concluída a avaliação da jazida e submetidos à ANP o Relatório Final de Avaliação de Descoberta (RFAD) e as Declarações de Comercialidade dos Campos de Bacalhau e Bacalhau Norte</w:t>
      </w:r>
      <w:r w:rsidRPr="00722DDC">
        <w:rPr>
          <w:rFonts w:asciiTheme="minorHAnsi" w:hAnsiTheme="minorHAnsi" w:cstheme="minorHAnsi"/>
        </w:rPr>
        <w:t>.</w:t>
      </w:r>
    </w:p>
    <w:p w14:paraId="3F97BA40" w14:textId="113357AB"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Licitadas as empresas responsáveis por engenharia e construção (após a sanção do projeto) dos equipamentos e instalações submarinas e do FPSO para Bacalhau Fase 1 (Bacalhau e Bacalhau Norte).</w:t>
      </w:r>
      <w:r w:rsidR="0023223B">
        <w:rPr>
          <w:rFonts w:cstheme="minorHAnsi"/>
        </w:rPr>
        <w:t xml:space="preserve"> </w:t>
      </w:r>
    </w:p>
    <w:p w14:paraId="3AD103C4" w14:textId="77777777" w:rsidR="00C2126D" w:rsidRPr="00722DDC" w:rsidRDefault="00C2126D" w:rsidP="00722DDC">
      <w:pPr>
        <w:pStyle w:val="PargrafodaLista"/>
        <w:numPr>
          <w:ilvl w:val="0"/>
          <w:numId w:val="10"/>
        </w:numPr>
        <w:shd w:val="clear" w:color="auto" w:fill="FFFFFF"/>
        <w:spacing w:line="276" w:lineRule="auto"/>
        <w:jc w:val="both"/>
        <w:rPr>
          <w:rFonts w:asciiTheme="minorHAnsi" w:eastAsia="Times New Roman" w:hAnsiTheme="minorHAnsi" w:cstheme="minorHAnsi"/>
        </w:rPr>
      </w:pPr>
      <w:r w:rsidRPr="00722DDC">
        <w:rPr>
          <w:rFonts w:asciiTheme="minorHAnsi" w:eastAsia="Times New Roman" w:hAnsiTheme="minorHAnsi" w:cstheme="minorHAnsi"/>
        </w:rPr>
        <w:t>Concluído o DST (</w:t>
      </w:r>
      <w:proofErr w:type="spellStart"/>
      <w:r w:rsidRPr="00722DDC">
        <w:rPr>
          <w:rFonts w:asciiTheme="minorHAnsi" w:eastAsia="Times New Roman" w:hAnsiTheme="minorHAnsi" w:cstheme="minorHAnsi"/>
        </w:rPr>
        <w:t>Drill</w:t>
      </w:r>
      <w:proofErr w:type="spellEnd"/>
      <w:r w:rsidRPr="00722DDC">
        <w:rPr>
          <w:rFonts w:asciiTheme="minorHAnsi" w:eastAsia="Times New Roman" w:hAnsiTheme="minorHAnsi" w:cstheme="minorHAnsi"/>
        </w:rPr>
        <w:t xml:space="preserve"> </w:t>
      </w:r>
      <w:proofErr w:type="spellStart"/>
      <w:r w:rsidRPr="00722DDC">
        <w:rPr>
          <w:rFonts w:asciiTheme="minorHAnsi" w:eastAsia="Times New Roman" w:hAnsiTheme="minorHAnsi" w:cstheme="minorHAnsi"/>
        </w:rPr>
        <w:t>Stem</w:t>
      </w:r>
      <w:proofErr w:type="spellEnd"/>
      <w:r w:rsidRPr="00722DDC">
        <w:rPr>
          <w:rFonts w:asciiTheme="minorHAnsi" w:eastAsia="Times New Roman" w:hAnsiTheme="minorHAnsi" w:cstheme="minorHAnsi"/>
        </w:rPr>
        <w:t xml:space="preserve"> Test – teste de formação) do poço 3-EQN-3-SPS (Carcará Leste), com resultados promissores.</w:t>
      </w:r>
    </w:p>
    <w:p w14:paraId="74DAADF2" w14:textId="77777777" w:rsidR="00C2126D" w:rsidRPr="00722DDC" w:rsidRDefault="00C2126D" w:rsidP="00722DDC">
      <w:pPr>
        <w:pStyle w:val="PargrafodaLista"/>
        <w:numPr>
          <w:ilvl w:val="0"/>
          <w:numId w:val="10"/>
        </w:numPr>
        <w:shd w:val="clear" w:color="auto" w:fill="FFFFFF"/>
        <w:spacing w:line="276" w:lineRule="auto"/>
        <w:jc w:val="both"/>
        <w:rPr>
          <w:rFonts w:asciiTheme="minorHAnsi" w:eastAsia="Times New Roman" w:hAnsiTheme="minorHAnsi" w:cstheme="minorHAnsi"/>
        </w:rPr>
      </w:pPr>
      <w:r w:rsidRPr="00722DDC">
        <w:rPr>
          <w:rFonts w:asciiTheme="minorHAnsi" w:eastAsia="Times New Roman" w:hAnsiTheme="minorHAnsi" w:cstheme="minorHAnsi"/>
        </w:rPr>
        <w:t>Iniciado o processo de discussão do Plano de Desenvolvimento da jazida compartilhada, previsto para ser entregue à ANP em 2020.</w:t>
      </w:r>
    </w:p>
    <w:p w14:paraId="04501507" w14:textId="77777777" w:rsidR="00C2126D" w:rsidRPr="00722DDC" w:rsidRDefault="00C2126D" w:rsidP="00722DDC">
      <w:pPr>
        <w:pStyle w:val="PargrafodaLista"/>
        <w:numPr>
          <w:ilvl w:val="0"/>
          <w:numId w:val="10"/>
        </w:numPr>
        <w:shd w:val="clear" w:color="auto" w:fill="FFFFFF"/>
        <w:spacing w:line="276" w:lineRule="auto"/>
        <w:jc w:val="both"/>
        <w:rPr>
          <w:rFonts w:asciiTheme="minorHAnsi" w:eastAsia="Times New Roman" w:hAnsiTheme="minorHAnsi" w:cstheme="minorHAnsi"/>
        </w:rPr>
      </w:pPr>
      <w:r w:rsidRPr="00722DDC">
        <w:rPr>
          <w:rFonts w:asciiTheme="minorHAnsi" w:eastAsia="Times New Roman" w:hAnsiTheme="minorHAnsi" w:cstheme="minorHAnsi"/>
        </w:rPr>
        <w:t>Iniciado o processo de unitização da jazida compartilhada, previsto para se encerrar em 2020.</w:t>
      </w:r>
    </w:p>
    <w:p w14:paraId="0F43679E"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inorHAnsi" w:hAnsiTheme="minorHAnsi" w:cstheme="minorHAnsi"/>
          <w:u w:val="single"/>
        </w:rPr>
      </w:pPr>
    </w:p>
    <w:p w14:paraId="27EAC31C"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highlight w:val="yellow"/>
        </w:rPr>
      </w:pPr>
      <w:r w:rsidRPr="00722DDC">
        <w:rPr>
          <w:rFonts w:cstheme="minorHAnsi"/>
        </w:rPr>
        <w:t xml:space="preserve">Bloco: </w:t>
      </w:r>
      <w:r w:rsidRPr="00722DDC">
        <w:rPr>
          <w:rFonts w:cstheme="minorHAnsi"/>
          <w:i/>
          <w:iCs/>
        </w:rPr>
        <w:t>Alto de Cabo Frio Central</w:t>
      </w:r>
    </w:p>
    <w:p w14:paraId="744BD12D"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lastRenderedPageBreak/>
        <w:t xml:space="preserve">Contratados: </w:t>
      </w:r>
      <w:r w:rsidRPr="00722DDC">
        <w:rPr>
          <w:rFonts w:cstheme="minorHAnsi"/>
          <w:i/>
        </w:rPr>
        <w:t>Petrobras (operador, 50%) e BP (50%)</w:t>
      </w:r>
    </w:p>
    <w:p w14:paraId="1BA49A8B"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R$ 500 milhões e 75,86%</w:t>
      </w:r>
    </w:p>
    <w:p w14:paraId="14C98F41" w14:textId="73971D0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13897267"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Dada continuidade ao processo de avaliação exploratória da área.</w:t>
      </w:r>
    </w:p>
    <w:p w14:paraId="1AF69F54"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Concluído o processo de licenciamento ambiental para perfuração do poço exploratório, com início previsto para o primeiro trimestre de 2021.</w:t>
      </w:r>
    </w:p>
    <w:p w14:paraId="024B1F0E"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 xml:space="preserve">Realizadas reuniões com o operador acerca da estratégia de </w:t>
      </w:r>
      <w:proofErr w:type="spellStart"/>
      <w:r w:rsidRPr="00722DDC">
        <w:rPr>
          <w:rFonts w:cstheme="minorHAnsi"/>
          <w:i/>
          <w:iCs/>
        </w:rPr>
        <w:t>procurement</w:t>
      </w:r>
      <w:proofErr w:type="spellEnd"/>
      <w:r w:rsidRPr="00722DDC">
        <w:rPr>
          <w:rFonts w:cstheme="minorHAnsi"/>
          <w:i/>
          <w:iCs/>
        </w:rPr>
        <w:t xml:space="preserve"> </w:t>
      </w:r>
      <w:r w:rsidRPr="00722DDC">
        <w:rPr>
          <w:rFonts w:cstheme="minorHAnsi"/>
        </w:rPr>
        <w:t xml:space="preserve">para a perfuração do poço exploratório. </w:t>
      </w:r>
    </w:p>
    <w:p w14:paraId="16F2FEC8" w14:textId="77777777" w:rsidR="00C2126D" w:rsidRPr="00722DDC" w:rsidRDefault="00C2126D" w:rsidP="00722DDC">
      <w:pPr>
        <w:shd w:val="clear" w:color="auto" w:fill="FFFFFF"/>
        <w:spacing w:line="276" w:lineRule="auto"/>
        <w:jc w:val="both"/>
        <w:textAlignment w:val="baseline"/>
        <w:rPr>
          <w:rFonts w:eastAsia="Times New Roman" w:cstheme="minorHAnsi"/>
          <w:b/>
          <w:bCs/>
        </w:rPr>
      </w:pPr>
    </w:p>
    <w:p w14:paraId="0324F5F6"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highlight w:val="cyan"/>
          <w:lang w:val="es-AR"/>
        </w:rPr>
      </w:pPr>
      <w:r w:rsidRPr="00722DDC">
        <w:rPr>
          <w:rFonts w:cstheme="minorHAnsi"/>
          <w:lang w:val="es-AR"/>
        </w:rPr>
        <w:t xml:space="preserve">Bloco: </w:t>
      </w:r>
      <w:r w:rsidRPr="00722DDC">
        <w:rPr>
          <w:rFonts w:cstheme="minorHAnsi"/>
          <w:i/>
          <w:iCs/>
          <w:lang w:val="es-AR"/>
        </w:rPr>
        <w:t>Alto de Cabo Frio Oeste</w:t>
      </w:r>
    </w:p>
    <w:p w14:paraId="3BFC846E"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Contratados: </w:t>
      </w:r>
      <w:r w:rsidRPr="00722DDC">
        <w:rPr>
          <w:rFonts w:cstheme="minorHAnsi"/>
          <w:i/>
        </w:rPr>
        <w:t>Shell (operador, 55%), QPI (25%) e CNOOC (20%)</w:t>
      </w:r>
    </w:p>
    <w:p w14:paraId="6171544A"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R$ 350 milhões e 22,87%</w:t>
      </w:r>
    </w:p>
    <w:p w14:paraId="53BB940A" w14:textId="59CFF309"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5E2B38D2" w14:textId="3D1D97C4" w:rsidR="00C2126D" w:rsidRPr="00722DDC" w:rsidRDefault="00C2126D" w:rsidP="00722DDC">
      <w:pPr>
        <w:pStyle w:val="PargrafodaLista"/>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inorHAnsi" w:hAnsiTheme="minorHAnsi" w:cstheme="minorHAnsi"/>
        </w:rPr>
      </w:pPr>
      <w:r w:rsidRPr="00722DDC">
        <w:rPr>
          <w:rFonts w:asciiTheme="minorHAnsi" w:hAnsiTheme="minorHAnsi" w:cstheme="minorHAnsi"/>
        </w:rPr>
        <w:t xml:space="preserve">Emitida pelo Ibama, em setembro de 2019, </w:t>
      </w:r>
      <w:r w:rsidR="009E4DC9">
        <w:rPr>
          <w:rFonts w:asciiTheme="minorHAnsi" w:hAnsiTheme="minorHAnsi" w:cstheme="minorHAnsi"/>
        </w:rPr>
        <w:t xml:space="preserve">a </w:t>
      </w:r>
      <w:r w:rsidRPr="00722DDC">
        <w:rPr>
          <w:rFonts w:asciiTheme="minorHAnsi" w:hAnsiTheme="minorHAnsi" w:cstheme="minorHAnsi"/>
        </w:rPr>
        <w:t>licença para perfuração de três poços exploratórios.</w:t>
      </w:r>
    </w:p>
    <w:p w14:paraId="3B2FAD6D" w14:textId="77777777" w:rsidR="00C2126D" w:rsidRPr="00722DDC" w:rsidRDefault="00C2126D" w:rsidP="00722DDC">
      <w:pPr>
        <w:pStyle w:val="PargrafodaLista"/>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inorHAnsi" w:hAnsiTheme="minorHAnsi" w:cstheme="minorHAnsi"/>
        </w:rPr>
      </w:pPr>
      <w:r w:rsidRPr="00722DDC">
        <w:rPr>
          <w:rFonts w:asciiTheme="minorHAnsi" w:hAnsiTheme="minorHAnsi" w:cstheme="minorHAnsi"/>
        </w:rPr>
        <w:t xml:space="preserve">Concluída em dezembro de 2019, pela sonda Brava Star, da empresa </w:t>
      </w:r>
      <w:proofErr w:type="spellStart"/>
      <w:r w:rsidRPr="00722DDC">
        <w:rPr>
          <w:rFonts w:asciiTheme="minorHAnsi" w:hAnsiTheme="minorHAnsi" w:cstheme="minorHAnsi"/>
        </w:rPr>
        <w:t>Constellation</w:t>
      </w:r>
      <w:proofErr w:type="spellEnd"/>
      <w:r w:rsidRPr="00722DDC">
        <w:rPr>
          <w:rFonts w:asciiTheme="minorHAnsi" w:hAnsiTheme="minorHAnsi" w:cstheme="minorHAnsi"/>
        </w:rPr>
        <w:t>, a perfuração do primeiro poço exploratório (prospecto Vidigal), compromisso firme do PEM, cujos resultados serão analisados em 2020 para avaliar a perfuração dos dois poços contingentes previstos.</w:t>
      </w:r>
    </w:p>
    <w:p w14:paraId="2F1CFFF9" w14:textId="77777777" w:rsidR="00C2126D" w:rsidRPr="00722DDC" w:rsidRDefault="00C2126D" w:rsidP="00722DDC">
      <w:pPr>
        <w:pStyle w:val="NormalWeb"/>
        <w:numPr>
          <w:ilvl w:val="0"/>
          <w:numId w:val="14"/>
        </w:numPr>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Iniciado o processo de reconhecimento de custos utilizando o SGPP.</w:t>
      </w:r>
    </w:p>
    <w:p w14:paraId="0694B0FA" w14:textId="762261C8" w:rsidR="00C2126D" w:rsidRDefault="00C2126D" w:rsidP="00722DDC">
      <w:pPr>
        <w:shd w:val="clear" w:color="auto" w:fill="FFFFFF"/>
        <w:spacing w:line="276" w:lineRule="auto"/>
        <w:jc w:val="both"/>
        <w:textAlignment w:val="baseline"/>
        <w:rPr>
          <w:rFonts w:eastAsia="Times New Roman" w:cstheme="minorHAnsi"/>
          <w:b/>
          <w:bCs/>
        </w:rPr>
      </w:pPr>
    </w:p>
    <w:p w14:paraId="11561F2B" w14:textId="77777777"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rPr>
        <w:t>Bloco: </w:t>
      </w:r>
      <w:r w:rsidRPr="00722DDC">
        <w:rPr>
          <w:rFonts w:eastAsia="Times New Roman" w:cstheme="minorHAnsi"/>
          <w:i/>
          <w:iCs/>
        </w:rPr>
        <w:t>Peroba</w:t>
      </w:r>
      <w:r w:rsidRPr="00722DDC">
        <w:rPr>
          <w:rFonts w:eastAsia="Times New Roman" w:cstheme="minorHAnsi"/>
        </w:rPr>
        <w:t xml:space="preserve">  </w:t>
      </w:r>
    </w:p>
    <w:p w14:paraId="2FF67EE0" w14:textId="77777777"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rPr>
        <w:t>Contratados: </w:t>
      </w:r>
      <w:r w:rsidRPr="00722DDC">
        <w:rPr>
          <w:rFonts w:eastAsia="Times New Roman" w:cstheme="minorHAnsi"/>
          <w:i/>
          <w:iCs/>
        </w:rPr>
        <w:t>Petrobras (operador, 40%), BP (40%) e CNODC (20%)</w:t>
      </w:r>
      <w:r w:rsidRPr="00722DDC">
        <w:rPr>
          <w:rFonts w:eastAsia="Times New Roman" w:cstheme="minorHAnsi"/>
        </w:rPr>
        <w:t> </w:t>
      </w:r>
    </w:p>
    <w:p w14:paraId="1E6E3171" w14:textId="77777777" w:rsidR="00C2126D" w:rsidRPr="00722DDC" w:rsidRDefault="00C2126D" w:rsidP="00722DDC">
      <w:pPr>
        <w:shd w:val="clear" w:color="auto" w:fill="FFFFFF"/>
        <w:spacing w:line="276" w:lineRule="auto"/>
        <w:jc w:val="both"/>
        <w:textAlignment w:val="baseline"/>
        <w:rPr>
          <w:rFonts w:eastAsia="Times New Roman" w:cstheme="minorHAnsi"/>
        </w:rPr>
      </w:pPr>
      <w:r w:rsidRPr="00722DDC">
        <w:rPr>
          <w:rFonts w:eastAsia="Times New Roman" w:cstheme="minorHAnsi"/>
        </w:rPr>
        <w:t>Bônus e excedente em óleo da União: </w:t>
      </w:r>
      <w:r w:rsidRPr="00722DDC">
        <w:rPr>
          <w:rFonts w:eastAsia="Times New Roman" w:cstheme="minorHAnsi"/>
          <w:i/>
          <w:iCs/>
        </w:rPr>
        <w:t>R$ 2 bilhões e 76,96%</w:t>
      </w:r>
    </w:p>
    <w:p w14:paraId="046B7C45" w14:textId="106BD78D" w:rsidR="00C2126D" w:rsidRPr="00722DDC" w:rsidRDefault="00C2126D" w:rsidP="00722DDC">
      <w:pPr>
        <w:shd w:val="clear" w:color="auto" w:fill="FFFFFF"/>
        <w:spacing w:line="276" w:lineRule="auto"/>
        <w:jc w:val="both"/>
        <w:textAlignment w:val="baseline"/>
        <w:rPr>
          <w:rFonts w:cstheme="minorHAnsi"/>
          <w:u w:val="single"/>
        </w:rPr>
      </w:pPr>
      <w:r w:rsidRPr="00722DDC">
        <w:rPr>
          <w:rFonts w:cstheme="minorHAnsi"/>
          <w:u w:val="single"/>
        </w:rPr>
        <w:t>Principais marcos</w:t>
      </w:r>
      <w:r w:rsidR="001E49B5">
        <w:rPr>
          <w:rFonts w:cstheme="minorHAnsi"/>
          <w:u w:val="single"/>
        </w:rPr>
        <w:t>:</w:t>
      </w:r>
    </w:p>
    <w:p w14:paraId="2A8B09BB"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Dada continuidade ao processo de avaliação exploratória da área.</w:t>
      </w:r>
    </w:p>
    <w:p w14:paraId="33011A49"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Concluído o poço Peroba-1, cujos resultados estão em análise pelo consórcio.</w:t>
      </w:r>
    </w:p>
    <w:p w14:paraId="4C5A23B5"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Concluído o processo de auditoria da Metodologia de Cálculo dos Custos de Pessoal (HH) do Operador, o que permitiu a aprovação da tabela de HH do operador para 2018 e 2019.</w:t>
      </w:r>
    </w:p>
    <w:p w14:paraId="3918B1A5"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rPr>
      </w:pPr>
    </w:p>
    <w:p w14:paraId="0363C716" w14:textId="77777777" w:rsidR="00C2126D" w:rsidRPr="00C00AE5"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rPr>
      </w:pPr>
      <w:r w:rsidRPr="00C00AE5">
        <w:rPr>
          <w:rFonts w:cstheme="minorHAnsi"/>
          <w:b/>
          <w:bCs/>
        </w:rPr>
        <w:t>Contratos da 4ª Rodada de Partilha de Produção</w:t>
      </w:r>
    </w:p>
    <w:p w14:paraId="1913D169" w14:textId="77777777" w:rsidR="00C2126D" w:rsidRPr="00722DDC" w:rsidRDefault="00C2126D" w:rsidP="00722DDC">
      <w:pPr>
        <w:shd w:val="clear" w:color="auto" w:fill="FFFFFF"/>
        <w:spacing w:line="276" w:lineRule="auto"/>
        <w:jc w:val="both"/>
        <w:textAlignment w:val="baseline"/>
        <w:rPr>
          <w:rFonts w:eastAsia="Times New Roman" w:cstheme="minorHAnsi"/>
          <w:bCs/>
        </w:rPr>
      </w:pPr>
      <w:r w:rsidRPr="00722DDC">
        <w:rPr>
          <w:rFonts w:eastAsia="Times New Roman" w:cstheme="minorHAnsi"/>
          <w:bCs/>
        </w:rPr>
        <w:t>Bloco: </w:t>
      </w:r>
      <w:r w:rsidRPr="00722DDC">
        <w:rPr>
          <w:rFonts w:eastAsia="Times New Roman" w:cstheme="minorHAnsi"/>
          <w:bCs/>
          <w:i/>
          <w:iCs/>
        </w:rPr>
        <w:t>Uirapuru</w:t>
      </w:r>
    </w:p>
    <w:p w14:paraId="285569F6" w14:textId="77777777" w:rsidR="00C2126D" w:rsidRPr="00722DDC" w:rsidRDefault="00C2126D" w:rsidP="00722DDC">
      <w:pPr>
        <w:shd w:val="clear" w:color="auto" w:fill="FFFFFF"/>
        <w:spacing w:line="276" w:lineRule="auto"/>
        <w:jc w:val="both"/>
        <w:textAlignment w:val="baseline"/>
        <w:rPr>
          <w:rFonts w:eastAsia="Times New Roman" w:cstheme="minorHAnsi"/>
          <w:bCs/>
        </w:rPr>
      </w:pPr>
      <w:r w:rsidRPr="00722DDC">
        <w:rPr>
          <w:rFonts w:eastAsia="Times New Roman" w:cstheme="minorHAnsi"/>
          <w:bCs/>
        </w:rPr>
        <w:t>Contratados: </w:t>
      </w:r>
      <w:r w:rsidRPr="00722DDC">
        <w:rPr>
          <w:rFonts w:eastAsia="Times New Roman" w:cstheme="minorHAnsi"/>
          <w:bCs/>
          <w:i/>
          <w:iCs/>
        </w:rPr>
        <w:t>Petrobras (operador, 30%), </w:t>
      </w:r>
      <w:proofErr w:type="spellStart"/>
      <w:r w:rsidRPr="00722DDC">
        <w:rPr>
          <w:rFonts w:eastAsia="Times New Roman" w:cstheme="minorHAnsi"/>
          <w:bCs/>
          <w:i/>
          <w:iCs/>
        </w:rPr>
        <w:t>Equinor</w:t>
      </w:r>
      <w:proofErr w:type="spellEnd"/>
      <w:r w:rsidRPr="00722DDC">
        <w:rPr>
          <w:rFonts w:eastAsia="Times New Roman" w:cstheme="minorHAnsi"/>
          <w:bCs/>
          <w:i/>
          <w:iCs/>
        </w:rPr>
        <w:t> (28%), ExxonMobil (28%) e </w:t>
      </w:r>
      <w:proofErr w:type="spellStart"/>
      <w:r w:rsidRPr="00722DDC">
        <w:rPr>
          <w:rFonts w:eastAsia="Times New Roman" w:cstheme="minorHAnsi"/>
          <w:bCs/>
          <w:i/>
          <w:iCs/>
        </w:rPr>
        <w:t>Petrogal</w:t>
      </w:r>
      <w:proofErr w:type="spellEnd"/>
      <w:r w:rsidRPr="00722DDC">
        <w:rPr>
          <w:rFonts w:eastAsia="Times New Roman" w:cstheme="minorHAnsi"/>
          <w:bCs/>
          <w:i/>
          <w:iCs/>
        </w:rPr>
        <w:t> (14%) </w:t>
      </w:r>
      <w:r w:rsidRPr="00722DDC">
        <w:rPr>
          <w:rFonts w:eastAsia="Times New Roman" w:cstheme="minorHAnsi"/>
          <w:bCs/>
        </w:rPr>
        <w:t> </w:t>
      </w:r>
    </w:p>
    <w:p w14:paraId="6FCEBA69" w14:textId="77777777" w:rsidR="00C2126D" w:rsidRPr="00722DDC" w:rsidRDefault="00C2126D" w:rsidP="00722DDC">
      <w:pPr>
        <w:shd w:val="clear" w:color="auto" w:fill="FFFFFF"/>
        <w:spacing w:line="276" w:lineRule="auto"/>
        <w:jc w:val="both"/>
        <w:textAlignment w:val="baseline"/>
        <w:rPr>
          <w:rFonts w:eastAsia="Times New Roman" w:cstheme="minorHAnsi"/>
          <w:bCs/>
        </w:rPr>
      </w:pPr>
      <w:r w:rsidRPr="00722DDC">
        <w:rPr>
          <w:rFonts w:eastAsia="Times New Roman" w:cstheme="minorHAnsi"/>
          <w:bCs/>
        </w:rPr>
        <w:t>Bônus e excedente em óleo da União: </w:t>
      </w:r>
      <w:r w:rsidRPr="00722DDC">
        <w:rPr>
          <w:rFonts w:eastAsia="Times New Roman" w:cstheme="minorHAnsi"/>
          <w:bCs/>
          <w:i/>
          <w:iCs/>
        </w:rPr>
        <w:t>R$ 2,65 bilhões e 75,49%</w:t>
      </w:r>
    </w:p>
    <w:p w14:paraId="68D24940" w14:textId="4D293DF0"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665106DF"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lastRenderedPageBreak/>
        <w:t>Dada continuidade ao processo de avaliação exploratória da área.</w:t>
      </w:r>
    </w:p>
    <w:p w14:paraId="4D81850F"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 xml:space="preserve">Concluído o processo de auditoria da Metodologia de Cálculo dos Custos de Pessoal (HH) do </w:t>
      </w:r>
      <w:sdt>
        <w:sdtPr>
          <w:rPr>
            <w:rFonts w:cstheme="minorHAnsi"/>
          </w:rPr>
          <w:tag w:val="goog_rdk_71"/>
          <w:id w:val="-1108117066"/>
        </w:sdtPr>
        <w:sdtEndPr/>
        <w:sdtContent>
          <w:r w:rsidRPr="00722DDC">
            <w:rPr>
              <w:rFonts w:cstheme="minorHAnsi"/>
            </w:rPr>
            <w:t>O</w:t>
          </w:r>
        </w:sdtContent>
      </w:sdt>
      <w:r w:rsidRPr="00722DDC">
        <w:rPr>
          <w:rFonts w:cstheme="minorHAnsi"/>
        </w:rPr>
        <w:t xml:space="preserve">perador, o que permitiu a aprovação da tabela de HH do </w:t>
      </w:r>
      <w:sdt>
        <w:sdtPr>
          <w:rPr>
            <w:rFonts w:cstheme="minorHAnsi"/>
          </w:rPr>
          <w:tag w:val="goog_rdk_73"/>
          <w:id w:val="-1554996777"/>
        </w:sdtPr>
        <w:sdtEndPr/>
        <w:sdtContent>
          <w:r w:rsidRPr="00722DDC">
            <w:rPr>
              <w:rFonts w:cstheme="minorHAnsi"/>
            </w:rPr>
            <w:t>o</w:t>
          </w:r>
        </w:sdtContent>
      </w:sdt>
      <w:r w:rsidRPr="00722DDC">
        <w:rPr>
          <w:rFonts w:cstheme="minorHAnsi"/>
        </w:rPr>
        <w:t>perador para 2018 e 2019.</w:t>
      </w:r>
    </w:p>
    <w:p w14:paraId="7CDA6770" w14:textId="77777777" w:rsidR="00C2126D" w:rsidRPr="00722DDC" w:rsidRDefault="00C2126D" w:rsidP="00722DDC">
      <w:pPr>
        <w:pStyle w:val="PargrafodaLista"/>
        <w:numPr>
          <w:ilvl w:val="0"/>
          <w:numId w:val="10"/>
        </w:numPr>
        <w:shd w:val="clear" w:color="auto" w:fill="FFFFFF"/>
        <w:spacing w:line="276" w:lineRule="auto"/>
        <w:jc w:val="both"/>
        <w:rPr>
          <w:rFonts w:asciiTheme="minorHAnsi" w:eastAsia="Times New Roman" w:hAnsiTheme="minorHAnsi" w:cstheme="minorHAnsi"/>
        </w:rPr>
      </w:pPr>
      <w:r w:rsidRPr="00722DDC">
        <w:rPr>
          <w:rFonts w:asciiTheme="minorHAnsi" w:eastAsia="Times New Roman" w:hAnsiTheme="minorHAnsi" w:cstheme="minorHAnsi"/>
        </w:rPr>
        <w:t>Realizadas reuniões sobre estratégia de suprimento de bens e serviços</w:t>
      </w:r>
      <w:r w:rsidRPr="00722DDC">
        <w:rPr>
          <w:rFonts w:asciiTheme="minorHAnsi" w:eastAsia="Times New Roman" w:hAnsiTheme="minorHAnsi" w:cstheme="minorHAnsi"/>
          <w:i/>
        </w:rPr>
        <w:t>,</w:t>
      </w:r>
      <w:r w:rsidRPr="00722DDC">
        <w:rPr>
          <w:rFonts w:asciiTheme="minorHAnsi" w:eastAsia="Times New Roman" w:hAnsiTheme="minorHAnsi" w:cstheme="minorHAnsi"/>
        </w:rPr>
        <w:t xml:space="preserve"> que conduziu a adesões de contrato suportando a perfuração de Araucária S (1-SPS-107 e repetições), iniciada em novembro de 2019, e ao planejamento das contratações para os eventuais poços contingentes.</w:t>
      </w:r>
    </w:p>
    <w:p w14:paraId="61BF2F78"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inorHAnsi" w:hAnsiTheme="minorHAnsi" w:cstheme="minorHAnsi"/>
          <w:b/>
          <w:u w:val="single"/>
        </w:rPr>
      </w:pPr>
    </w:p>
    <w:p w14:paraId="7E8CEB20"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highlight w:val="green"/>
        </w:rPr>
      </w:pPr>
      <w:r w:rsidRPr="00722DDC">
        <w:rPr>
          <w:rFonts w:cstheme="minorHAnsi"/>
        </w:rPr>
        <w:t xml:space="preserve">Bloco: </w:t>
      </w:r>
      <w:r w:rsidRPr="00722DDC">
        <w:rPr>
          <w:rFonts w:cstheme="minorHAnsi"/>
          <w:i/>
          <w:iCs/>
        </w:rPr>
        <w:t>Três Marias</w:t>
      </w:r>
    </w:p>
    <w:p w14:paraId="7F253756"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Contratados: </w:t>
      </w:r>
      <w:r w:rsidRPr="00722DDC">
        <w:rPr>
          <w:rFonts w:cstheme="minorHAnsi"/>
          <w:i/>
        </w:rPr>
        <w:t>Petrobras (operador, 30%), Chevron (30%) e Shell (40%)</w:t>
      </w:r>
    </w:p>
    <w:p w14:paraId="51C8E33D"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R$ 100 milhões e 49,95%</w:t>
      </w:r>
    </w:p>
    <w:p w14:paraId="22C284E3" w14:textId="0E1E0F30"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1B70B742"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Dada continuidade ao processo de avaliação exploratória da área.</w:t>
      </w:r>
    </w:p>
    <w:p w14:paraId="4E331AB2"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 xml:space="preserve">Realizadas reuniões com o </w:t>
      </w:r>
      <w:sdt>
        <w:sdtPr>
          <w:rPr>
            <w:rFonts w:cstheme="minorHAnsi"/>
          </w:rPr>
          <w:tag w:val="goog_rdk_85"/>
          <w:id w:val="-700714752"/>
        </w:sdtPr>
        <w:sdtEndPr/>
        <w:sdtContent>
          <w:r w:rsidRPr="00722DDC">
            <w:rPr>
              <w:rFonts w:cstheme="minorHAnsi"/>
            </w:rPr>
            <w:t>o</w:t>
          </w:r>
        </w:sdtContent>
      </w:sdt>
      <w:r w:rsidRPr="00722DDC">
        <w:rPr>
          <w:rFonts w:cstheme="minorHAnsi"/>
        </w:rPr>
        <w:t xml:space="preserve">perador acerca da estratégia de </w:t>
      </w:r>
      <w:proofErr w:type="spellStart"/>
      <w:r w:rsidRPr="00722DDC">
        <w:rPr>
          <w:rFonts w:cstheme="minorHAnsi"/>
          <w:i/>
          <w:iCs/>
        </w:rPr>
        <w:t>procurement</w:t>
      </w:r>
      <w:proofErr w:type="spellEnd"/>
      <w:r w:rsidRPr="00722DDC">
        <w:rPr>
          <w:rFonts w:cstheme="minorHAnsi"/>
          <w:i/>
          <w:iCs/>
        </w:rPr>
        <w:t xml:space="preserve"> </w:t>
      </w:r>
      <w:r w:rsidRPr="00722DDC">
        <w:rPr>
          <w:rFonts w:cstheme="minorHAnsi"/>
        </w:rPr>
        <w:t>para a perfuração do poço exploratório, com início previsto para o primeiro trimestre de 2021.</w:t>
      </w:r>
    </w:p>
    <w:p w14:paraId="1993EF97"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rPr>
      </w:pPr>
    </w:p>
    <w:p w14:paraId="5B5B2DEC"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highlight w:val="yellow"/>
        </w:rPr>
      </w:pPr>
      <w:r w:rsidRPr="00722DDC">
        <w:rPr>
          <w:rFonts w:cstheme="minorHAnsi"/>
        </w:rPr>
        <w:t xml:space="preserve">Bloco: </w:t>
      </w:r>
      <w:r w:rsidRPr="00722DDC">
        <w:rPr>
          <w:rFonts w:cstheme="minorHAnsi"/>
          <w:i/>
          <w:iCs/>
        </w:rPr>
        <w:t>Dois Irmãos</w:t>
      </w:r>
    </w:p>
    <w:p w14:paraId="53FDAE2B"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i/>
          <w:iCs/>
        </w:rPr>
      </w:pPr>
      <w:r w:rsidRPr="00722DDC">
        <w:rPr>
          <w:rFonts w:cstheme="minorHAnsi"/>
        </w:rPr>
        <w:t xml:space="preserve">Contratados: </w:t>
      </w:r>
      <w:r w:rsidRPr="00722DDC">
        <w:rPr>
          <w:rFonts w:cstheme="minorHAnsi"/>
          <w:i/>
          <w:iCs/>
        </w:rPr>
        <w:t xml:space="preserve">Petrobras (operador, 45%), </w:t>
      </w:r>
      <w:proofErr w:type="spellStart"/>
      <w:r w:rsidRPr="00722DDC">
        <w:rPr>
          <w:rFonts w:cstheme="minorHAnsi"/>
          <w:i/>
          <w:iCs/>
        </w:rPr>
        <w:t>Equinor</w:t>
      </w:r>
      <w:proofErr w:type="spellEnd"/>
      <w:r w:rsidRPr="00722DDC">
        <w:rPr>
          <w:rFonts w:cstheme="minorHAnsi"/>
          <w:i/>
          <w:iCs/>
        </w:rPr>
        <w:t xml:space="preserve"> (25%) e BP (30%)</w:t>
      </w:r>
    </w:p>
    <w:p w14:paraId="460F95FE"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iCs/>
        </w:rPr>
        <w:t>R$ 400 milhões e 16,43%</w:t>
      </w:r>
    </w:p>
    <w:p w14:paraId="36FCA691" w14:textId="6E4D7CAD"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158ECA77"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Dada continuidade ao processo de avaliação exploratória da área.</w:t>
      </w:r>
    </w:p>
    <w:p w14:paraId="21F9FD24"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Definida, em dezembro de 2019, a locação do poço exploratório, com início da perfuração previsto para o primeiro trimestre de 2021.</w:t>
      </w:r>
    </w:p>
    <w:p w14:paraId="176068EB" w14:textId="77777777" w:rsidR="001E49B5" w:rsidRPr="00722DDC" w:rsidRDefault="001E49B5" w:rsidP="00722DDC">
      <w:pPr>
        <w:spacing w:line="276" w:lineRule="auto"/>
        <w:ind w:left="720"/>
        <w:jc w:val="both"/>
        <w:rPr>
          <w:rFonts w:eastAsia="Times New Roman" w:cstheme="minorHAnsi"/>
        </w:rPr>
      </w:pPr>
    </w:p>
    <w:p w14:paraId="230A3718" w14:textId="77777777" w:rsidR="00C2126D" w:rsidRPr="00C00AE5"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rPr>
      </w:pPr>
      <w:r w:rsidRPr="00C00AE5">
        <w:rPr>
          <w:rFonts w:cstheme="minorHAnsi"/>
          <w:b/>
          <w:bCs/>
        </w:rPr>
        <w:t>Contratos da 5ª Rodada de Partilha de Produção</w:t>
      </w:r>
    </w:p>
    <w:p w14:paraId="727AB43D"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highlight w:val="cyan"/>
        </w:rPr>
      </w:pPr>
      <w:r w:rsidRPr="00722DDC">
        <w:rPr>
          <w:rFonts w:cstheme="minorHAnsi"/>
          <w:bCs/>
        </w:rPr>
        <w:t xml:space="preserve">Bloco: </w:t>
      </w:r>
      <w:r w:rsidRPr="00722DDC">
        <w:rPr>
          <w:rFonts w:cstheme="minorHAnsi"/>
          <w:bCs/>
          <w:i/>
          <w:iCs/>
        </w:rPr>
        <w:t>Saturno</w:t>
      </w:r>
    </w:p>
    <w:p w14:paraId="6861758E"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rPr>
      </w:pPr>
      <w:r w:rsidRPr="00722DDC">
        <w:rPr>
          <w:rFonts w:cstheme="minorHAnsi"/>
          <w:bCs/>
        </w:rPr>
        <w:t xml:space="preserve">Contratados: </w:t>
      </w:r>
      <w:r w:rsidRPr="00722DDC">
        <w:rPr>
          <w:rFonts w:cstheme="minorHAnsi"/>
          <w:bCs/>
          <w:i/>
          <w:iCs/>
        </w:rPr>
        <w:t xml:space="preserve">Shell (operador, 45%), Chevron (45%) e </w:t>
      </w:r>
      <w:proofErr w:type="spellStart"/>
      <w:r w:rsidRPr="00722DDC">
        <w:rPr>
          <w:rFonts w:cstheme="minorHAnsi"/>
          <w:bCs/>
          <w:i/>
          <w:iCs/>
        </w:rPr>
        <w:t>Ecopetrol</w:t>
      </w:r>
      <w:proofErr w:type="spellEnd"/>
      <w:r w:rsidRPr="00722DDC">
        <w:rPr>
          <w:rFonts w:cstheme="minorHAnsi"/>
          <w:bCs/>
          <w:i/>
          <w:iCs/>
        </w:rPr>
        <w:t xml:space="preserve"> (10%)</w:t>
      </w:r>
    </w:p>
    <w:p w14:paraId="7DE7A9EA"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rPr>
      </w:pPr>
      <w:r w:rsidRPr="00722DDC">
        <w:rPr>
          <w:rFonts w:cstheme="minorHAnsi"/>
          <w:bCs/>
        </w:rPr>
        <w:t xml:space="preserve">Bônus e excedente em óleo da União: </w:t>
      </w:r>
      <w:r w:rsidRPr="00722DDC">
        <w:rPr>
          <w:rFonts w:cstheme="minorHAnsi"/>
          <w:bCs/>
          <w:i/>
        </w:rPr>
        <w:t>R$ 3,125 bilhões e 70,20%</w:t>
      </w:r>
    </w:p>
    <w:p w14:paraId="3B6E7456" w14:textId="515CD53D"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1771EAAD" w14:textId="37304ACB" w:rsidR="00C2126D" w:rsidRPr="00722DDC" w:rsidRDefault="00260D67" w:rsidP="00722DDC">
      <w:pPr>
        <w:pStyle w:val="PargrafodaLista"/>
        <w:widowControl/>
        <w:numPr>
          <w:ilvl w:val="0"/>
          <w:numId w:val="16"/>
        </w:numPr>
        <w:spacing w:line="276" w:lineRule="auto"/>
        <w:ind w:left="284"/>
        <w:jc w:val="both"/>
        <w:rPr>
          <w:rFonts w:asciiTheme="minorHAnsi" w:hAnsiTheme="minorHAnsi" w:cstheme="minorHAnsi"/>
          <w:u w:val="single"/>
        </w:rPr>
      </w:pPr>
      <w:r>
        <w:rPr>
          <w:rFonts w:asciiTheme="minorHAnsi" w:hAnsiTheme="minorHAnsi" w:cstheme="minorHAnsi"/>
        </w:rPr>
        <w:t>Iniciado</w:t>
      </w:r>
      <w:r w:rsidR="00C2126D" w:rsidRPr="00722DDC">
        <w:rPr>
          <w:rFonts w:asciiTheme="minorHAnsi" w:hAnsiTheme="minorHAnsi" w:cstheme="minorHAnsi"/>
        </w:rPr>
        <w:t>, junto ao Ibama, o processo de licenciamento ambiental do Bloco de Saturno.</w:t>
      </w:r>
    </w:p>
    <w:p w14:paraId="0844A3C0" w14:textId="77777777" w:rsidR="00C2126D" w:rsidRPr="00722DDC" w:rsidRDefault="00C2126D" w:rsidP="00722DDC">
      <w:pPr>
        <w:pStyle w:val="PargrafodaLista"/>
        <w:widowControl/>
        <w:numPr>
          <w:ilvl w:val="0"/>
          <w:numId w:val="16"/>
        </w:numPr>
        <w:spacing w:line="276" w:lineRule="auto"/>
        <w:ind w:left="284"/>
        <w:jc w:val="both"/>
        <w:rPr>
          <w:rFonts w:asciiTheme="minorHAnsi" w:hAnsiTheme="minorHAnsi" w:cstheme="minorHAnsi"/>
        </w:rPr>
      </w:pPr>
      <w:r w:rsidRPr="00722DDC">
        <w:rPr>
          <w:rFonts w:asciiTheme="minorHAnsi" w:hAnsiTheme="minorHAnsi" w:cstheme="minorHAnsi"/>
        </w:rPr>
        <w:t>Previsto o início de perfuração do poço pioneiro de Saturno para ocorrer entre abril e maio de 2020, conforme última informação do consórcio (003/2020).</w:t>
      </w:r>
    </w:p>
    <w:p w14:paraId="4C4AB95E" w14:textId="77777777" w:rsidR="00C2126D" w:rsidRPr="00722DDC" w:rsidRDefault="00C2126D" w:rsidP="00722DDC">
      <w:pPr>
        <w:pStyle w:val="PargrafodaLista"/>
        <w:spacing w:line="276" w:lineRule="auto"/>
        <w:ind w:left="862"/>
        <w:jc w:val="both"/>
        <w:rPr>
          <w:rFonts w:asciiTheme="minorHAnsi" w:hAnsiTheme="minorHAnsi" w:cstheme="minorHAnsi"/>
        </w:rPr>
      </w:pPr>
    </w:p>
    <w:p w14:paraId="69B622F6" w14:textId="77777777" w:rsidR="00C2126D" w:rsidRPr="00722DDC" w:rsidRDefault="00C2126D" w:rsidP="00722DDC">
      <w:pPr>
        <w:spacing w:line="276" w:lineRule="auto"/>
        <w:jc w:val="both"/>
        <w:rPr>
          <w:rFonts w:cstheme="minorHAnsi"/>
        </w:rPr>
      </w:pPr>
      <w:r w:rsidRPr="00722DDC">
        <w:rPr>
          <w:rFonts w:cstheme="minorHAnsi"/>
        </w:rPr>
        <w:t xml:space="preserve">Bloco: </w:t>
      </w:r>
      <w:r w:rsidRPr="00722DDC">
        <w:rPr>
          <w:rFonts w:cstheme="minorHAnsi"/>
          <w:i/>
          <w:iCs/>
        </w:rPr>
        <w:t>Titã</w:t>
      </w:r>
    </w:p>
    <w:p w14:paraId="0B683314"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Contratados: </w:t>
      </w:r>
      <w:r w:rsidRPr="00722DDC">
        <w:rPr>
          <w:rFonts w:cstheme="minorHAnsi"/>
          <w:i/>
        </w:rPr>
        <w:t>ExxonMobil (operador, 64%) e QPI (36%)</w:t>
      </w:r>
    </w:p>
    <w:p w14:paraId="377C3579"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R$ 3,125 bilhões e 23,49%</w:t>
      </w:r>
    </w:p>
    <w:p w14:paraId="331C2711" w14:textId="73F25E29" w:rsidR="00C2126D" w:rsidRPr="00722DDC" w:rsidRDefault="00C2126D" w:rsidP="00722DDC">
      <w:pPr>
        <w:spacing w:line="276" w:lineRule="auto"/>
        <w:jc w:val="both"/>
        <w:rPr>
          <w:rFonts w:cstheme="minorHAnsi"/>
          <w:u w:val="single"/>
        </w:rPr>
      </w:pPr>
      <w:r w:rsidRPr="00722DDC">
        <w:rPr>
          <w:rFonts w:cstheme="minorHAnsi"/>
          <w:u w:val="single"/>
        </w:rPr>
        <w:lastRenderedPageBreak/>
        <w:t>Principais marcos</w:t>
      </w:r>
      <w:r w:rsidR="001E49B5">
        <w:rPr>
          <w:rFonts w:cstheme="minorHAnsi"/>
          <w:u w:val="single"/>
        </w:rPr>
        <w:t>:</w:t>
      </w:r>
    </w:p>
    <w:p w14:paraId="5A139549"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Aprovação do Programa Exploratório Mínimo (PEM) de Titã pela diretoria da ANP.</w:t>
      </w:r>
    </w:p>
    <w:p w14:paraId="3C52F0C1" w14:textId="7A46E340" w:rsidR="00C2126D" w:rsidRPr="00722DDC" w:rsidRDefault="00C2126D" w:rsidP="00722DDC">
      <w:pPr>
        <w:numPr>
          <w:ilvl w:val="0"/>
          <w:numId w:val="10"/>
        </w:numPr>
        <w:pBdr>
          <w:top w:val="nil"/>
          <w:left w:val="nil"/>
          <w:bottom w:val="nil"/>
          <w:right w:val="nil"/>
          <w:between w:val="nil"/>
        </w:pBdr>
        <w:spacing w:after="0" w:line="276" w:lineRule="auto"/>
        <w:jc w:val="both"/>
        <w:rPr>
          <w:rFonts w:eastAsia="Times New Roman" w:cstheme="minorHAnsi"/>
        </w:rPr>
      </w:pPr>
      <w:r w:rsidRPr="00722DDC">
        <w:rPr>
          <w:rFonts w:cstheme="minorHAnsi"/>
        </w:rPr>
        <w:t xml:space="preserve">Previsto início da perfuração do poço exploratório para </w:t>
      </w:r>
      <w:r w:rsidR="00762D48">
        <w:rPr>
          <w:rFonts w:cstheme="minorHAnsi"/>
        </w:rPr>
        <w:t xml:space="preserve">o </w:t>
      </w:r>
      <w:r w:rsidR="00C8265D">
        <w:rPr>
          <w:rFonts w:cstheme="minorHAnsi"/>
        </w:rPr>
        <w:t>1º trimestre 2021</w:t>
      </w:r>
      <w:r w:rsidRPr="00722DDC">
        <w:rPr>
          <w:rFonts w:cstheme="minorHAnsi"/>
        </w:rPr>
        <w:t>.</w:t>
      </w:r>
    </w:p>
    <w:p w14:paraId="54EAF0C8" w14:textId="77777777" w:rsidR="00C2126D" w:rsidRPr="00722DDC" w:rsidRDefault="00C2126D" w:rsidP="00722DDC">
      <w:pPr>
        <w:numPr>
          <w:ilvl w:val="0"/>
          <w:numId w:val="10"/>
        </w:numPr>
        <w:pBdr>
          <w:top w:val="nil"/>
          <w:left w:val="nil"/>
          <w:bottom w:val="nil"/>
          <w:right w:val="nil"/>
          <w:between w:val="nil"/>
        </w:pBdr>
        <w:spacing w:after="0" w:line="276" w:lineRule="auto"/>
        <w:jc w:val="both"/>
        <w:rPr>
          <w:rFonts w:cstheme="minorHAnsi"/>
        </w:rPr>
      </w:pPr>
      <w:r w:rsidRPr="00722DDC">
        <w:rPr>
          <w:rFonts w:cstheme="minorHAnsi"/>
        </w:rPr>
        <w:t>Dada continuidade ao processo de avaliação exploratória da área.</w:t>
      </w:r>
    </w:p>
    <w:p w14:paraId="54240C3C"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highlight w:val="yellow"/>
        </w:rPr>
      </w:pPr>
    </w:p>
    <w:p w14:paraId="05F64300"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i/>
          <w:iCs/>
        </w:rPr>
      </w:pPr>
      <w:r w:rsidRPr="00722DDC">
        <w:rPr>
          <w:rFonts w:cstheme="minorHAnsi"/>
        </w:rPr>
        <w:t xml:space="preserve">Bloco: </w:t>
      </w:r>
      <w:r w:rsidRPr="00722DDC">
        <w:rPr>
          <w:rFonts w:cstheme="minorHAnsi"/>
          <w:i/>
          <w:iCs/>
        </w:rPr>
        <w:t>Pau-Brasil</w:t>
      </w:r>
    </w:p>
    <w:p w14:paraId="53750B60"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Contratados: </w:t>
      </w:r>
      <w:r w:rsidRPr="00722DDC">
        <w:rPr>
          <w:rFonts w:cstheme="minorHAnsi"/>
          <w:i/>
        </w:rPr>
        <w:t xml:space="preserve">BP (operador, 50%), </w:t>
      </w:r>
      <w:proofErr w:type="spellStart"/>
      <w:r w:rsidRPr="00722DDC">
        <w:rPr>
          <w:rFonts w:cstheme="minorHAnsi"/>
          <w:i/>
        </w:rPr>
        <w:t>Ecopetrol</w:t>
      </w:r>
      <w:proofErr w:type="spellEnd"/>
      <w:r w:rsidRPr="00722DDC">
        <w:rPr>
          <w:rFonts w:cstheme="minorHAnsi"/>
          <w:i/>
        </w:rPr>
        <w:t xml:space="preserve"> (20%) e CNOOC (30%)</w:t>
      </w:r>
    </w:p>
    <w:p w14:paraId="4C423A71"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R$ 500 milhões e 63,79%</w:t>
      </w:r>
    </w:p>
    <w:p w14:paraId="23C8CF5A" w14:textId="40DE0373"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69C7826A" w14:textId="77777777" w:rsidR="00C2126D" w:rsidRPr="00722DDC" w:rsidRDefault="00C2126D" w:rsidP="00722DDC">
      <w:pPr>
        <w:pStyle w:val="NormalWeb"/>
        <w:numPr>
          <w:ilvl w:val="0"/>
          <w:numId w:val="15"/>
        </w:numPr>
        <w:tabs>
          <w:tab w:val="left" w:pos="567"/>
        </w:tabs>
        <w:spacing w:before="0" w:after="0" w:line="276" w:lineRule="auto"/>
        <w:ind w:hanging="436"/>
        <w:jc w:val="both"/>
        <w:rPr>
          <w:rFonts w:asciiTheme="minorHAnsi" w:hAnsiTheme="minorHAnsi" w:cstheme="minorHAnsi"/>
          <w:sz w:val="22"/>
          <w:szCs w:val="22"/>
        </w:rPr>
      </w:pPr>
      <w:r w:rsidRPr="00722DDC">
        <w:rPr>
          <w:rFonts w:asciiTheme="minorHAnsi" w:hAnsiTheme="minorHAnsi" w:cstheme="minorHAnsi"/>
          <w:sz w:val="22"/>
          <w:szCs w:val="22"/>
        </w:rPr>
        <w:t>Aprovado o reprocessamento sísmico da área</w:t>
      </w:r>
      <w:r w:rsidRPr="00722DDC">
        <w:rPr>
          <w:rFonts w:asciiTheme="minorHAnsi" w:eastAsia="Calibri" w:hAnsiTheme="minorHAnsi" w:cstheme="minorHAnsi"/>
          <w:color w:val="000000"/>
          <w:sz w:val="22"/>
          <w:szCs w:val="22"/>
        </w:rPr>
        <w:t>.</w:t>
      </w:r>
    </w:p>
    <w:p w14:paraId="25E30ABB" w14:textId="77777777" w:rsidR="00C2126D" w:rsidRPr="00722DDC" w:rsidRDefault="00C2126D" w:rsidP="00722DDC">
      <w:pPr>
        <w:pStyle w:val="PargrafodaLista"/>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283"/>
        <w:jc w:val="both"/>
        <w:rPr>
          <w:rFonts w:asciiTheme="minorHAnsi" w:hAnsiTheme="minorHAnsi" w:cstheme="minorHAnsi"/>
          <w:b/>
          <w:bCs/>
        </w:rPr>
      </w:pPr>
      <w:r w:rsidRPr="00722DDC">
        <w:rPr>
          <w:rFonts w:asciiTheme="minorHAnsi" w:hAnsiTheme="minorHAnsi" w:cstheme="minorHAnsi"/>
        </w:rPr>
        <w:t>Iniciadas as atividades de licenciamento ambiental e do processo de contratação para a perfuração do poço pioneiro no quarto trimestre de 2021. A definição da locação do poço do PEM está condicionada ao término do reprocessamento, no fim de 2020.</w:t>
      </w:r>
    </w:p>
    <w:p w14:paraId="121F62D5"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rPr>
      </w:pPr>
    </w:p>
    <w:p w14:paraId="591F3003"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highlight w:val="yellow"/>
        </w:rPr>
      </w:pPr>
      <w:r w:rsidRPr="00722DDC">
        <w:rPr>
          <w:rFonts w:cstheme="minorHAnsi"/>
        </w:rPr>
        <w:t xml:space="preserve">Bloco: </w:t>
      </w:r>
      <w:r w:rsidRPr="00722DDC">
        <w:rPr>
          <w:rFonts w:cstheme="minorHAnsi"/>
          <w:i/>
          <w:iCs/>
        </w:rPr>
        <w:t>Sudoeste de Tartaruga Verde</w:t>
      </w:r>
    </w:p>
    <w:p w14:paraId="1C81CA7E"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Contratado: </w:t>
      </w:r>
      <w:r w:rsidRPr="00722DDC">
        <w:rPr>
          <w:rFonts w:cstheme="minorHAnsi"/>
          <w:i/>
        </w:rPr>
        <w:t>Petrobras (operador, 100%)</w:t>
      </w:r>
    </w:p>
    <w:p w14:paraId="3A4210BA"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rPr>
      </w:pPr>
      <w:r w:rsidRPr="00722DDC">
        <w:rPr>
          <w:rFonts w:cstheme="minorHAnsi"/>
        </w:rPr>
        <w:t xml:space="preserve">Bônus e excedente em óleo da União: </w:t>
      </w:r>
      <w:r w:rsidRPr="00722DDC">
        <w:rPr>
          <w:rFonts w:cstheme="minorHAnsi"/>
          <w:i/>
        </w:rPr>
        <w:t>R$ 70 milhões e 10,01%</w:t>
      </w:r>
    </w:p>
    <w:p w14:paraId="138877F4" w14:textId="39AB33F7" w:rsidR="00C2126D" w:rsidRPr="00722DDC" w:rsidRDefault="00C2126D" w:rsidP="00722DDC">
      <w:pPr>
        <w:spacing w:line="276" w:lineRule="auto"/>
        <w:jc w:val="both"/>
        <w:rPr>
          <w:rFonts w:cstheme="minorHAnsi"/>
          <w:u w:val="single"/>
        </w:rPr>
      </w:pPr>
      <w:r w:rsidRPr="00722DDC">
        <w:rPr>
          <w:rFonts w:cstheme="minorHAnsi"/>
          <w:u w:val="single"/>
        </w:rPr>
        <w:t>Principais marcos</w:t>
      </w:r>
      <w:r w:rsidR="001E49B5">
        <w:rPr>
          <w:rFonts w:cstheme="minorHAnsi"/>
          <w:u w:val="single"/>
        </w:rPr>
        <w:t>:</w:t>
      </w:r>
    </w:p>
    <w:p w14:paraId="756E90F2" w14:textId="77777777" w:rsidR="00C2126D" w:rsidRPr="00722DDC" w:rsidRDefault="00C2126D" w:rsidP="00722DDC">
      <w:pPr>
        <w:pStyle w:val="NormalWeb"/>
        <w:numPr>
          <w:ilvl w:val="0"/>
          <w:numId w:val="11"/>
        </w:numPr>
        <w:tabs>
          <w:tab w:val="left" w:pos="720"/>
        </w:tabs>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 xml:space="preserve">Aprovada a locação do prospecto </w:t>
      </w:r>
      <w:proofErr w:type="spellStart"/>
      <w:r w:rsidRPr="00722DDC">
        <w:rPr>
          <w:rFonts w:asciiTheme="minorHAnsi" w:hAnsiTheme="minorHAnsi" w:cstheme="minorHAnsi"/>
          <w:sz w:val="22"/>
          <w:szCs w:val="22"/>
        </w:rPr>
        <w:t>Natator</w:t>
      </w:r>
      <w:proofErr w:type="spellEnd"/>
      <w:r w:rsidRPr="00722DDC">
        <w:rPr>
          <w:rFonts w:asciiTheme="minorHAnsi" w:hAnsiTheme="minorHAnsi" w:cstheme="minorHAnsi"/>
          <w:sz w:val="22"/>
          <w:szCs w:val="22"/>
        </w:rPr>
        <w:t>, com início previsto para o primeiro trimestre de 2020, tendo sido aprovada a estratégia de contratação utilizando recursos do operador.</w:t>
      </w:r>
    </w:p>
    <w:p w14:paraId="2DBB94CB" w14:textId="77777777" w:rsidR="00C2126D" w:rsidRPr="00722DDC" w:rsidRDefault="00C2126D" w:rsidP="00722DDC">
      <w:pPr>
        <w:pStyle w:val="NormalWeb"/>
        <w:numPr>
          <w:ilvl w:val="0"/>
          <w:numId w:val="11"/>
        </w:numPr>
        <w:tabs>
          <w:tab w:val="left" w:pos="720"/>
        </w:tabs>
        <w:spacing w:before="0" w:beforeAutospacing="0" w:after="0" w:afterAutospacing="0" w:line="276" w:lineRule="auto"/>
        <w:jc w:val="both"/>
        <w:rPr>
          <w:rFonts w:asciiTheme="minorHAnsi" w:hAnsiTheme="minorHAnsi" w:cstheme="minorHAnsi"/>
          <w:sz w:val="22"/>
          <w:szCs w:val="22"/>
        </w:rPr>
      </w:pPr>
      <w:r w:rsidRPr="00722DDC">
        <w:rPr>
          <w:rFonts w:asciiTheme="minorHAnsi" w:hAnsiTheme="minorHAnsi" w:cstheme="minorHAnsi"/>
          <w:sz w:val="22"/>
          <w:szCs w:val="22"/>
        </w:rPr>
        <w:t>Iniciado o processo de reconhecimento de custos operando com o SGPP.</w:t>
      </w:r>
    </w:p>
    <w:p w14:paraId="1047F369" w14:textId="77777777" w:rsidR="00C2126D" w:rsidRPr="00722DDC" w:rsidRDefault="00C2126D" w:rsidP="00722DDC">
      <w:pPr>
        <w:pStyle w:val="PargrafodaLista"/>
        <w:widowControl/>
        <w:numPr>
          <w:ilvl w:val="0"/>
          <w:numId w:val="11"/>
        </w:numPr>
        <w:spacing w:line="276" w:lineRule="auto"/>
        <w:jc w:val="both"/>
        <w:rPr>
          <w:rFonts w:asciiTheme="minorHAnsi" w:hAnsiTheme="minorHAnsi" w:cstheme="minorHAnsi"/>
        </w:rPr>
      </w:pPr>
      <w:r w:rsidRPr="00722DDC">
        <w:rPr>
          <w:rFonts w:asciiTheme="minorHAnsi" w:hAnsiTheme="minorHAnsi" w:cstheme="minorHAnsi"/>
        </w:rPr>
        <w:t>Negociado e aprovado o Acordo de Equalização de Gastos e Volumes. A União recebeu R$ 210 milhões.</w:t>
      </w:r>
    </w:p>
    <w:p w14:paraId="3351B772" w14:textId="77777777" w:rsidR="00C2126D" w:rsidRPr="00722DDC" w:rsidRDefault="00C2126D" w:rsidP="00722DDC">
      <w:pPr>
        <w:pStyle w:val="PargrafodaLista"/>
        <w:widowControl/>
        <w:numPr>
          <w:ilvl w:val="0"/>
          <w:numId w:val="11"/>
        </w:numPr>
        <w:spacing w:line="276" w:lineRule="auto"/>
        <w:jc w:val="both"/>
        <w:rPr>
          <w:rFonts w:asciiTheme="minorHAnsi" w:hAnsiTheme="minorHAnsi" w:cstheme="minorHAnsi"/>
        </w:rPr>
      </w:pPr>
      <w:r w:rsidRPr="00722DDC">
        <w:rPr>
          <w:rFonts w:asciiTheme="minorHAnsi" w:hAnsiTheme="minorHAnsi" w:cstheme="minorHAnsi"/>
        </w:rPr>
        <w:t>Aprovado o Regimento Interno do Comitê Operacional.</w:t>
      </w:r>
    </w:p>
    <w:p w14:paraId="60F76202" w14:textId="77777777" w:rsidR="00C2126D" w:rsidRPr="00722DDC" w:rsidRDefault="00C2126D" w:rsidP="00722DDC">
      <w:pPr>
        <w:pStyle w:val="PargrafodaLista"/>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asciiTheme="minorHAnsi" w:hAnsiTheme="minorHAnsi" w:cstheme="minorHAnsi"/>
          <w:bCs/>
          <w:color w:val="0D0D0D" w:themeColor="text1" w:themeTint="F2"/>
        </w:rPr>
      </w:pPr>
      <w:r w:rsidRPr="00722DDC">
        <w:rPr>
          <w:rFonts w:asciiTheme="minorHAnsi" w:hAnsiTheme="minorHAnsi" w:cstheme="minorHAnsi"/>
        </w:rPr>
        <w:t>Reconhecida como custo em óleo a parcela de investimento relativa ao CPP oriunda da Equalização de Gastos e Volumes.</w:t>
      </w:r>
    </w:p>
    <w:p w14:paraId="0D77DF84" w14:textId="77777777" w:rsidR="00C2126D" w:rsidRPr="00722DDC"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cstheme="minorHAnsi"/>
          <w:bCs/>
          <w:color w:val="0D0D0D" w:themeColor="text1" w:themeTint="F2"/>
        </w:rPr>
      </w:pPr>
    </w:p>
    <w:p w14:paraId="4AC676F0" w14:textId="0D8FD69E" w:rsidR="00C2126D" w:rsidRPr="00C00AE5"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
          <w:bCs/>
          <w:color w:val="0D0D0D" w:themeColor="text1" w:themeTint="F2"/>
        </w:rPr>
      </w:pPr>
      <w:r w:rsidRPr="00C00AE5">
        <w:rPr>
          <w:rFonts w:cstheme="minorHAnsi"/>
          <w:b/>
          <w:bCs/>
          <w:color w:val="0D0D0D" w:themeColor="text1" w:themeTint="F2"/>
        </w:rPr>
        <w:t xml:space="preserve">Produção dos Contratos </w:t>
      </w:r>
    </w:p>
    <w:p w14:paraId="3ACDA091" w14:textId="77F5604C" w:rsidR="00C2126D" w:rsidRDefault="00C2126D"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color w:val="0D0D0D" w:themeColor="text1" w:themeTint="F2"/>
        </w:rPr>
      </w:pPr>
      <w:r w:rsidRPr="00722DDC">
        <w:rPr>
          <w:rFonts w:cstheme="minorHAnsi"/>
          <w:bCs/>
          <w:color w:val="0D0D0D" w:themeColor="text1" w:themeTint="F2"/>
        </w:rPr>
        <w:t xml:space="preserve">Três dos 14 contratos de partilha estão em produção: Área de Desenvolvimento de Mero, Entorno de </w:t>
      </w:r>
      <w:proofErr w:type="spellStart"/>
      <w:r w:rsidRPr="00722DDC">
        <w:rPr>
          <w:rFonts w:cstheme="minorHAnsi"/>
          <w:bCs/>
          <w:color w:val="0D0D0D" w:themeColor="text1" w:themeTint="F2"/>
        </w:rPr>
        <w:t>Sapinhoá</w:t>
      </w:r>
      <w:proofErr w:type="spellEnd"/>
      <w:r w:rsidRPr="00722DDC">
        <w:rPr>
          <w:rFonts w:cstheme="minorHAnsi"/>
          <w:bCs/>
          <w:color w:val="0D0D0D" w:themeColor="text1" w:themeTint="F2"/>
        </w:rPr>
        <w:t xml:space="preserve"> e Sudoeste de Tartaruga Verde. Confira, nos gráficos abaixo, a produção de petróleo e gás acumulada até dezembro de 2019 e a parcela da União.</w:t>
      </w:r>
    </w:p>
    <w:p w14:paraId="1B7C2E16" w14:textId="77777777" w:rsidR="001E49B5" w:rsidRPr="00722DDC" w:rsidRDefault="001E49B5" w:rsidP="00722DD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cstheme="minorHAnsi"/>
          <w:bCs/>
          <w:color w:val="0D0D0D" w:themeColor="text1" w:themeTint="F2"/>
        </w:rPr>
      </w:pPr>
    </w:p>
    <w:p w14:paraId="7D95AA2C"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284"/>
        <w:jc w:val="both"/>
        <w:rPr>
          <w:rFonts w:asciiTheme="minorHAnsi" w:hAnsiTheme="minorHAnsi" w:cstheme="minorHAnsi"/>
          <w:b/>
          <w:color w:val="0D0D0D" w:themeColor="text1" w:themeTint="F2"/>
        </w:rPr>
      </w:pPr>
      <w:r w:rsidRPr="00722DDC">
        <w:rPr>
          <w:rFonts w:asciiTheme="minorHAnsi" w:hAnsiTheme="minorHAnsi" w:cstheme="minorHAnsi"/>
          <w:b/>
          <w:noProof/>
          <w:color w:val="0D0D0D" w:themeColor="text1" w:themeTint="F2"/>
        </w:rPr>
        <w:lastRenderedPageBreak/>
        <w:drawing>
          <wp:inline distT="0" distB="0" distL="0" distR="0" wp14:anchorId="5E5D0AD9" wp14:editId="4434813B">
            <wp:extent cx="5759210" cy="1938020"/>
            <wp:effectExtent l="0" t="0" r="6985" b="0"/>
            <wp:docPr id="15" name="Imagem 3">
              <a:extLst xmlns:a="http://schemas.openxmlformats.org/drawingml/2006/main">
                <a:ext uri="{FF2B5EF4-FFF2-40B4-BE49-F238E27FC236}">
                  <a16:creationId xmlns:a16="http://schemas.microsoft.com/office/drawing/2014/main" id="{D08E8945-5B4A-48F2-B1EF-C4B0D067F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D08E8945-5B4A-48F2-B1EF-C4B0D067FA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59210" cy="1938020"/>
                    </a:xfrm>
                    <a:prstGeom prst="rect">
                      <a:avLst/>
                    </a:prstGeom>
                  </pic:spPr>
                </pic:pic>
              </a:graphicData>
            </a:graphic>
          </wp:inline>
        </w:drawing>
      </w:r>
    </w:p>
    <w:p w14:paraId="71AE4F78"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Theme="minorHAnsi" w:hAnsiTheme="minorHAnsi" w:cstheme="minorHAnsi"/>
          <w:b/>
          <w:color w:val="0D0D0D" w:themeColor="text1" w:themeTint="F2"/>
        </w:rPr>
      </w:pPr>
    </w:p>
    <w:p w14:paraId="472BA79A"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284"/>
        <w:jc w:val="both"/>
        <w:rPr>
          <w:rFonts w:asciiTheme="minorHAnsi" w:hAnsiTheme="minorHAnsi" w:cstheme="minorHAnsi"/>
          <w:b/>
          <w:color w:val="0D0D0D" w:themeColor="text1" w:themeTint="F2"/>
        </w:rPr>
      </w:pPr>
      <w:r w:rsidRPr="00722DDC">
        <w:rPr>
          <w:rFonts w:asciiTheme="minorHAnsi" w:hAnsiTheme="minorHAnsi" w:cstheme="minorHAnsi"/>
          <w:b/>
          <w:noProof/>
          <w:color w:val="0D0D0D" w:themeColor="text1" w:themeTint="F2"/>
        </w:rPr>
        <w:drawing>
          <wp:inline distT="0" distB="0" distL="0" distR="0" wp14:anchorId="74FBCD08" wp14:editId="154B1F92">
            <wp:extent cx="5760085" cy="2005362"/>
            <wp:effectExtent l="0" t="0" r="5715" b="1270"/>
            <wp:docPr id="16" name="Imagem 3">
              <a:extLst xmlns:a="http://schemas.openxmlformats.org/drawingml/2006/main">
                <a:ext uri="{FF2B5EF4-FFF2-40B4-BE49-F238E27FC236}">
                  <a16:creationId xmlns:a16="http://schemas.microsoft.com/office/drawing/2014/main" id="{9AB17B50-7EC1-49EC-BD54-BAAF60838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9AB17B50-7EC1-49EC-BD54-BAAF60838DD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085" cy="2005362"/>
                    </a:xfrm>
                    <a:prstGeom prst="rect">
                      <a:avLst/>
                    </a:prstGeom>
                  </pic:spPr>
                </pic:pic>
              </a:graphicData>
            </a:graphic>
          </wp:inline>
        </w:drawing>
      </w:r>
    </w:p>
    <w:p w14:paraId="70C9A645"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Theme="minorHAnsi" w:hAnsiTheme="minorHAnsi" w:cstheme="minorHAnsi"/>
          <w:b/>
          <w:color w:val="0D0D0D" w:themeColor="text1" w:themeTint="F2"/>
        </w:rPr>
      </w:pPr>
    </w:p>
    <w:p w14:paraId="02FC916B"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142" w:firstLine="142"/>
        <w:jc w:val="both"/>
        <w:rPr>
          <w:rFonts w:asciiTheme="minorHAnsi" w:hAnsiTheme="minorHAnsi" w:cstheme="minorHAnsi"/>
          <w:b/>
          <w:color w:val="0D0D0D" w:themeColor="text1" w:themeTint="F2"/>
        </w:rPr>
      </w:pPr>
      <w:r w:rsidRPr="00722DDC">
        <w:rPr>
          <w:rFonts w:asciiTheme="minorHAnsi" w:hAnsiTheme="minorHAnsi" w:cstheme="minorHAnsi"/>
          <w:b/>
          <w:noProof/>
          <w:color w:val="0D0D0D" w:themeColor="text1" w:themeTint="F2"/>
        </w:rPr>
        <w:drawing>
          <wp:inline distT="0" distB="0" distL="0" distR="0" wp14:anchorId="3C689079" wp14:editId="53AEBFF4">
            <wp:extent cx="5760085" cy="2060220"/>
            <wp:effectExtent l="0" t="0" r="5715" b="0"/>
            <wp:docPr id="13" name="Imagem 1">
              <a:extLst xmlns:a="http://schemas.openxmlformats.org/drawingml/2006/main">
                <a:ext uri="{FF2B5EF4-FFF2-40B4-BE49-F238E27FC236}">
                  <a16:creationId xmlns:a16="http://schemas.microsoft.com/office/drawing/2014/main" id="{D65E9DCC-0AAF-4FA6-A8FD-7F4467CA5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D65E9DCC-0AAF-4FA6-A8FD-7F4467CA59F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085" cy="2060220"/>
                    </a:xfrm>
                    <a:prstGeom prst="rect">
                      <a:avLst/>
                    </a:prstGeom>
                  </pic:spPr>
                </pic:pic>
              </a:graphicData>
            </a:graphic>
          </wp:inline>
        </w:drawing>
      </w:r>
    </w:p>
    <w:p w14:paraId="2E635C29"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Theme="minorHAnsi" w:hAnsiTheme="minorHAnsi" w:cstheme="minorHAnsi"/>
          <w:b/>
          <w:color w:val="0D0D0D" w:themeColor="text1" w:themeTint="F2"/>
        </w:rPr>
      </w:pPr>
    </w:p>
    <w:p w14:paraId="34D363C5" w14:textId="77777777" w:rsidR="00C2126D" w:rsidRPr="00722DDC" w:rsidRDefault="00C2126D" w:rsidP="00722DDC">
      <w:pPr>
        <w:pStyle w:val="PargrafodaLista"/>
        <w:pBdr>
          <w:top w:val="none" w:sz="0" w:space="0" w:color="000000"/>
          <w:left w:val="none" w:sz="0" w:space="0" w:color="000000"/>
          <w:bottom w:val="none" w:sz="0" w:space="0" w:color="000000"/>
          <w:right w:val="none" w:sz="0" w:space="0" w:color="000000"/>
          <w:between w:val="none" w:sz="0" w:space="0" w:color="000000"/>
        </w:pBdr>
        <w:spacing w:line="276" w:lineRule="auto"/>
        <w:ind w:left="284"/>
        <w:jc w:val="both"/>
        <w:rPr>
          <w:rFonts w:asciiTheme="minorHAnsi" w:hAnsiTheme="minorHAnsi" w:cstheme="minorHAnsi"/>
          <w:b/>
          <w:color w:val="0D0D0D" w:themeColor="text1" w:themeTint="F2"/>
        </w:rPr>
      </w:pPr>
      <w:r w:rsidRPr="00722DDC">
        <w:rPr>
          <w:rFonts w:asciiTheme="minorHAnsi" w:hAnsiTheme="minorHAnsi" w:cstheme="minorHAnsi"/>
          <w:b/>
          <w:noProof/>
          <w:color w:val="0D0D0D" w:themeColor="text1" w:themeTint="F2"/>
        </w:rPr>
        <w:drawing>
          <wp:inline distT="0" distB="0" distL="0" distR="0" wp14:anchorId="1EA4A7F5" wp14:editId="6EC22A8B">
            <wp:extent cx="5752814" cy="2033270"/>
            <wp:effectExtent l="0" t="0" r="0" b="0"/>
            <wp:docPr id="17" name="Imagem 3">
              <a:extLst xmlns:a="http://schemas.openxmlformats.org/drawingml/2006/main">
                <a:ext uri="{FF2B5EF4-FFF2-40B4-BE49-F238E27FC236}">
                  <a16:creationId xmlns:a16="http://schemas.microsoft.com/office/drawing/2014/main" id="{666B5B7C-FAB5-4036-98A3-3DE14A2DF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666B5B7C-FAB5-4036-98A3-3DE14A2DFA8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2814" cy="2033270"/>
                    </a:xfrm>
                    <a:prstGeom prst="rect">
                      <a:avLst/>
                    </a:prstGeom>
                  </pic:spPr>
                </pic:pic>
              </a:graphicData>
            </a:graphic>
          </wp:inline>
        </w:drawing>
      </w:r>
    </w:p>
    <w:p w14:paraId="597274EC" w14:textId="0BB0E9BD" w:rsidR="00CE649D" w:rsidRPr="00C00AE5" w:rsidRDefault="00CE649D" w:rsidP="00722DDC">
      <w:pPr>
        <w:pStyle w:val="Default"/>
        <w:jc w:val="both"/>
        <w:rPr>
          <w:rFonts w:asciiTheme="minorHAnsi" w:hAnsiTheme="minorHAnsi" w:cstheme="minorHAnsi"/>
          <w:color w:val="008192"/>
          <w:sz w:val="22"/>
          <w:szCs w:val="22"/>
        </w:rPr>
      </w:pPr>
      <w:r w:rsidRPr="00722DDC">
        <w:rPr>
          <w:rFonts w:asciiTheme="minorHAnsi" w:hAnsiTheme="minorHAnsi" w:cstheme="minorHAnsi"/>
          <w:color w:val="008192"/>
          <w:sz w:val="22"/>
          <w:szCs w:val="22"/>
        </w:rPr>
        <w:lastRenderedPageBreak/>
        <w:t xml:space="preserve">Atividades </w:t>
      </w:r>
      <w:r w:rsidRPr="006623DC">
        <w:rPr>
          <w:rFonts w:asciiTheme="minorHAnsi" w:hAnsiTheme="minorHAnsi" w:cstheme="minorHAnsi"/>
          <w:color w:val="008192"/>
          <w:sz w:val="22"/>
          <w:szCs w:val="22"/>
        </w:rPr>
        <w:t xml:space="preserve">desenvolvidas </w:t>
      </w:r>
      <w:r w:rsidR="00734F00" w:rsidRPr="00C00AE5">
        <w:rPr>
          <w:rFonts w:asciiTheme="minorHAnsi" w:hAnsiTheme="minorHAnsi" w:cstheme="minorHAnsi"/>
          <w:color w:val="008192"/>
          <w:sz w:val="22"/>
          <w:szCs w:val="22"/>
        </w:rPr>
        <w:t>–</w:t>
      </w:r>
      <w:r w:rsidRPr="00C00AE5">
        <w:rPr>
          <w:rFonts w:asciiTheme="minorHAnsi" w:hAnsiTheme="minorHAnsi" w:cstheme="minorHAnsi"/>
          <w:color w:val="008192"/>
          <w:sz w:val="22"/>
          <w:szCs w:val="22"/>
        </w:rPr>
        <w:t xml:space="preserve"> Acordos de Individualização da Produção </w:t>
      </w:r>
    </w:p>
    <w:p w14:paraId="16FC6BD6" w14:textId="77777777" w:rsidR="00CE649D" w:rsidRPr="00C00AE5" w:rsidRDefault="00CE649D" w:rsidP="00722DDC">
      <w:pPr>
        <w:spacing w:line="276" w:lineRule="auto"/>
        <w:jc w:val="both"/>
        <w:rPr>
          <w:rFonts w:cstheme="minorHAnsi"/>
          <w:color w:val="008192"/>
        </w:rPr>
      </w:pPr>
    </w:p>
    <w:p w14:paraId="6CC1AC02" w14:textId="589C661B" w:rsidR="00CE649D" w:rsidRPr="00722DDC" w:rsidRDefault="00CE649D" w:rsidP="00722DDC">
      <w:pPr>
        <w:autoSpaceDE w:val="0"/>
        <w:autoSpaceDN w:val="0"/>
        <w:adjustRightInd w:val="0"/>
        <w:spacing w:line="276" w:lineRule="auto"/>
        <w:jc w:val="both"/>
        <w:rPr>
          <w:rFonts w:cstheme="minorHAnsi"/>
        </w:rPr>
      </w:pPr>
      <w:r w:rsidRPr="00C00AE5">
        <w:rPr>
          <w:rFonts w:cstheme="minorHAnsi"/>
        </w:rPr>
        <w:t xml:space="preserve">Sempre que o limite de uma jazida petrolífera ultrapassa a área concedida ou contratada, é necessária a realização de um </w:t>
      </w:r>
      <w:r w:rsidR="006623DC">
        <w:rPr>
          <w:rFonts w:cstheme="minorHAnsi"/>
        </w:rPr>
        <w:t>A</w:t>
      </w:r>
      <w:r w:rsidRPr="00C00AE5">
        <w:rPr>
          <w:rFonts w:cstheme="minorHAnsi"/>
        </w:rPr>
        <w:t xml:space="preserve">cordo de </w:t>
      </w:r>
      <w:r w:rsidR="006623DC">
        <w:rPr>
          <w:rFonts w:cstheme="minorHAnsi"/>
        </w:rPr>
        <w:t>I</w:t>
      </w:r>
      <w:r w:rsidRPr="00C00AE5">
        <w:rPr>
          <w:rFonts w:cstheme="minorHAnsi"/>
        </w:rPr>
        <w:t xml:space="preserve">ndividualização da </w:t>
      </w:r>
      <w:r w:rsidR="006623DC">
        <w:rPr>
          <w:rFonts w:cstheme="minorHAnsi"/>
        </w:rPr>
        <w:t>P</w:t>
      </w:r>
      <w:r w:rsidRPr="00C00AE5">
        <w:rPr>
          <w:rFonts w:cstheme="minorHAnsi"/>
        </w:rPr>
        <w:t xml:space="preserve">rodução (AIP) ou Unitização. No Polígono do </w:t>
      </w:r>
      <w:proofErr w:type="spellStart"/>
      <w:r w:rsidRPr="00C00AE5">
        <w:rPr>
          <w:rFonts w:cstheme="minorHAnsi"/>
        </w:rPr>
        <w:t>Pré</w:t>
      </w:r>
      <w:proofErr w:type="spellEnd"/>
      <w:r w:rsidRPr="00C00AE5">
        <w:rPr>
          <w:rFonts w:cstheme="minorHAnsi"/>
        </w:rPr>
        <w:t xml:space="preserve">-Sal e em áreas estratégicas, a </w:t>
      </w:r>
      <w:proofErr w:type="spellStart"/>
      <w:r w:rsidRPr="00C00AE5">
        <w:rPr>
          <w:rFonts w:cstheme="minorHAnsi"/>
        </w:rPr>
        <w:t>Pré</w:t>
      </w:r>
      <w:proofErr w:type="spellEnd"/>
      <w:r w:rsidRPr="00C00AE5">
        <w:rPr>
          <w:rFonts w:cstheme="minorHAnsi"/>
        </w:rPr>
        <w:t>-Sal Petróleo representa a União</w:t>
      </w:r>
      <w:r w:rsidRPr="00722DDC">
        <w:rPr>
          <w:rFonts w:cstheme="minorHAnsi"/>
        </w:rPr>
        <w:t xml:space="preserve"> nesses acordos, quando os mesmos envolvem uma área não contratada.</w:t>
      </w:r>
    </w:p>
    <w:p w14:paraId="5D928666" w14:textId="52B22FC0" w:rsidR="00EF56CF" w:rsidRPr="00722DDC" w:rsidRDefault="00CE649D" w:rsidP="00722DDC">
      <w:pPr>
        <w:spacing w:line="276" w:lineRule="auto"/>
        <w:jc w:val="both"/>
        <w:rPr>
          <w:rFonts w:cstheme="minorHAnsi"/>
        </w:rPr>
      </w:pPr>
      <w:r w:rsidRPr="00722DDC">
        <w:rPr>
          <w:rFonts w:cstheme="minorHAnsi"/>
        </w:rPr>
        <w:t xml:space="preserve">Esse procedimento visa garantir a exploração </w:t>
      </w:r>
      <w:r w:rsidR="00674AD2">
        <w:rPr>
          <w:rFonts w:cstheme="minorHAnsi"/>
        </w:rPr>
        <w:t xml:space="preserve">adequada </w:t>
      </w:r>
      <w:r w:rsidRPr="00722DDC">
        <w:rPr>
          <w:rFonts w:cstheme="minorHAnsi"/>
        </w:rPr>
        <w:t>de uma jazida de petróleo e/ou gás natural</w:t>
      </w:r>
      <w:sdt>
        <w:sdtPr>
          <w:rPr>
            <w:rFonts w:cstheme="minorHAnsi"/>
          </w:rPr>
          <w:tag w:val="goog_rdk_135"/>
          <w:id w:val="1691498076"/>
        </w:sdtPr>
        <w:sdtEndPr/>
        <w:sdtContent>
          <w:r w:rsidRPr="00722DDC">
            <w:rPr>
              <w:rFonts w:cstheme="minorHAnsi"/>
            </w:rPr>
            <w:t>,</w:t>
          </w:r>
        </w:sdtContent>
      </w:sdt>
      <w:r w:rsidRPr="00722DDC">
        <w:rPr>
          <w:rFonts w:cstheme="minorHAnsi"/>
        </w:rPr>
        <w:t xml:space="preserve"> distribuindo equanimemente, entre os titulares de direitos de exploração e produção da jazida compartilhada, os direitos e obrigações indivisas inerentes aos respectivos contratos de exploração e produção. </w:t>
      </w:r>
    </w:p>
    <w:p w14:paraId="44C240F2" w14:textId="547B50A0" w:rsidR="00EF56CF" w:rsidRPr="00722DDC" w:rsidRDefault="00EF56CF" w:rsidP="00722DDC">
      <w:pPr>
        <w:spacing w:line="276" w:lineRule="auto"/>
        <w:jc w:val="both"/>
        <w:rPr>
          <w:rFonts w:cstheme="minorHAnsi"/>
        </w:rPr>
      </w:pPr>
      <w:r w:rsidRPr="009C262E">
        <w:rPr>
          <w:rFonts w:cstheme="minorHAnsi"/>
        </w:rPr>
        <w:t>Atribuições da companhia na representação da União nos Acordos de Individualização da Produção:</w:t>
      </w:r>
    </w:p>
    <w:p w14:paraId="1CFB7AF1" w14:textId="01658FB6" w:rsidR="00EF56CF" w:rsidRPr="00722DDC" w:rsidRDefault="009152E7" w:rsidP="00722DDC">
      <w:pPr>
        <w:spacing w:line="276" w:lineRule="auto"/>
        <w:jc w:val="both"/>
        <w:rPr>
          <w:rFonts w:cstheme="minorHAnsi"/>
        </w:rPr>
      </w:pPr>
      <w:r>
        <w:rPr>
          <w:noProof/>
        </w:rPr>
        <w:drawing>
          <wp:inline distT="0" distB="0" distL="0" distR="0" wp14:anchorId="424DF4D2" wp14:editId="530EFF50">
            <wp:extent cx="5579745" cy="2305685"/>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745" cy="2305685"/>
                    </a:xfrm>
                    <a:prstGeom prst="rect">
                      <a:avLst/>
                    </a:prstGeom>
                  </pic:spPr>
                </pic:pic>
              </a:graphicData>
            </a:graphic>
          </wp:inline>
        </w:drawing>
      </w:r>
    </w:p>
    <w:p w14:paraId="1A7ED9A0" w14:textId="76A81E27" w:rsidR="00CE649D" w:rsidRPr="00722DDC" w:rsidRDefault="00CE649D" w:rsidP="00722DDC">
      <w:pPr>
        <w:spacing w:line="276" w:lineRule="auto"/>
        <w:jc w:val="both"/>
        <w:rPr>
          <w:rFonts w:cstheme="minorHAnsi"/>
        </w:rPr>
      </w:pPr>
      <w:r w:rsidRPr="00722DDC">
        <w:rPr>
          <w:rFonts w:cstheme="minorHAnsi"/>
        </w:rPr>
        <w:t xml:space="preserve">A PPSA já concluiu </w:t>
      </w:r>
      <w:r w:rsidRPr="006623DC">
        <w:rPr>
          <w:rFonts w:cstheme="minorHAnsi"/>
        </w:rPr>
        <w:t xml:space="preserve">sete </w:t>
      </w:r>
      <w:r w:rsidRPr="009C262E">
        <w:rPr>
          <w:rFonts w:cstheme="minorHAnsi"/>
        </w:rPr>
        <w:t>Acordos de Individualização da Produção e trabalha em</w:t>
      </w:r>
      <w:r w:rsidRPr="00722DDC">
        <w:rPr>
          <w:rFonts w:cstheme="minorHAnsi"/>
        </w:rPr>
        <w:t xml:space="preserve"> outros 13 potenciais.</w:t>
      </w:r>
    </w:p>
    <w:p w14:paraId="44623A93" w14:textId="77777777" w:rsidR="00CE649D" w:rsidRPr="00722DDC" w:rsidRDefault="00CE649D" w:rsidP="00722DDC">
      <w:pPr>
        <w:spacing w:line="276" w:lineRule="auto"/>
        <w:jc w:val="both"/>
        <w:rPr>
          <w:rFonts w:cstheme="minorHAnsi"/>
        </w:rPr>
      </w:pPr>
    </w:p>
    <w:p w14:paraId="1EF15085" w14:textId="77777777" w:rsidR="00CE649D" w:rsidRPr="00722DDC" w:rsidRDefault="00CE649D" w:rsidP="00722DDC">
      <w:pPr>
        <w:spacing w:line="276" w:lineRule="auto"/>
        <w:jc w:val="both"/>
        <w:rPr>
          <w:rFonts w:cstheme="minorHAnsi"/>
        </w:rPr>
      </w:pPr>
      <w:r w:rsidRPr="00722DDC">
        <w:rPr>
          <w:rFonts w:cstheme="minorHAnsi"/>
          <w:noProof/>
          <w:lang w:eastAsia="pt-BR"/>
        </w:rPr>
        <w:drawing>
          <wp:inline distT="0" distB="0" distL="0" distR="0" wp14:anchorId="149620A0" wp14:editId="4F1E1F8E">
            <wp:extent cx="4882738" cy="3028950"/>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2738" cy="3028950"/>
                    </a:xfrm>
                    <a:prstGeom prst="rect">
                      <a:avLst/>
                    </a:prstGeom>
                  </pic:spPr>
                </pic:pic>
              </a:graphicData>
            </a:graphic>
          </wp:inline>
        </w:drawing>
      </w:r>
    </w:p>
    <w:p w14:paraId="3D83C572" w14:textId="27AE067C" w:rsidR="00C2126D" w:rsidRPr="00C00AE5" w:rsidRDefault="00C2126D" w:rsidP="00722DDC">
      <w:pPr>
        <w:spacing w:line="276" w:lineRule="auto"/>
        <w:jc w:val="both"/>
        <w:rPr>
          <w:rFonts w:cstheme="minorHAnsi"/>
          <w:color w:val="0D0D0D" w:themeColor="text1" w:themeTint="F2"/>
          <w:u w:val="single"/>
        </w:rPr>
      </w:pPr>
      <w:r w:rsidRPr="00C00AE5">
        <w:rPr>
          <w:rFonts w:cstheme="minorHAnsi"/>
          <w:color w:val="0D0D0D" w:themeColor="text1" w:themeTint="F2"/>
          <w:u w:val="single"/>
        </w:rPr>
        <w:lastRenderedPageBreak/>
        <w:t xml:space="preserve">Principais marcos de 2019 </w:t>
      </w:r>
    </w:p>
    <w:p w14:paraId="033A837B" w14:textId="77777777" w:rsidR="00C2126D" w:rsidRPr="00722DDC" w:rsidRDefault="00C2126D" w:rsidP="00722DDC">
      <w:pPr>
        <w:pStyle w:val="PargrafodaLista"/>
        <w:widowControl/>
        <w:numPr>
          <w:ilvl w:val="0"/>
          <w:numId w:val="18"/>
        </w:numPr>
        <w:spacing w:line="276" w:lineRule="auto"/>
        <w:jc w:val="both"/>
        <w:rPr>
          <w:rFonts w:asciiTheme="minorHAnsi" w:hAnsiTheme="minorHAnsi" w:cstheme="minorHAnsi"/>
          <w:color w:val="0D0D0D" w:themeColor="text1" w:themeTint="F2"/>
        </w:rPr>
      </w:pPr>
      <w:r w:rsidRPr="00722DDC">
        <w:rPr>
          <w:rFonts w:asciiTheme="minorHAnsi" w:eastAsia="Times New Roman" w:hAnsiTheme="minorHAnsi" w:cstheme="minorHAnsi"/>
          <w:color w:val="0D0D0D" w:themeColor="text1" w:themeTint="F2"/>
        </w:rPr>
        <w:t xml:space="preserve">Conclusão do </w:t>
      </w:r>
      <w:proofErr w:type="spellStart"/>
      <w:r w:rsidRPr="00722DDC">
        <w:rPr>
          <w:rFonts w:asciiTheme="minorHAnsi" w:eastAsia="Times New Roman" w:hAnsiTheme="minorHAnsi" w:cstheme="minorHAnsi"/>
          <w:color w:val="0D0D0D" w:themeColor="text1" w:themeTint="F2"/>
        </w:rPr>
        <w:t>Pré</w:t>
      </w:r>
      <w:proofErr w:type="spellEnd"/>
      <w:r w:rsidRPr="00722DDC">
        <w:rPr>
          <w:rFonts w:asciiTheme="minorHAnsi" w:eastAsia="Times New Roman" w:hAnsiTheme="minorHAnsi" w:cstheme="minorHAnsi"/>
          <w:color w:val="0D0D0D" w:themeColor="text1" w:themeTint="F2"/>
        </w:rPr>
        <w:t xml:space="preserve">-AIP de Gato do Mato (CPP </w:t>
      </w:r>
      <w:proofErr w:type="spellStart"/>
      <w:r w:rsidRPr="00722DDC">
        <w:rPr>
          <w:rFonts w:asciiTheme="minorHAnsi" w:eastAsia="Times New Roman" w:hAnsiTheme="minorHAnsi" w:cstheme="minorHAnsi"/>
          <w:color w:val="0D0D0D" w:themeColor="text1" w:themeTint="F2"/>
        </w:rPr>
        <w:t>SdGM</w:t>
      </w:r>
      <w:proofErr w:type="spellEnd"/>
      <w:r w:rsidRPr="00722DDC">
        <w:rPr>
          <w:rFonts w:asciiTheme="minorHAnsi" w:eastAsia="Times New Roman" w:hAnsiTheme="minorHAnsi" w:cstheme="minorHAnsi"/>
          <w:color w:val="0D0D0D" w:themeColor="text1" w:themeTint="F2"/>
        </w:rPr>
        <w:t xml:space="preserve"> e BM-S-54).</w:t>
      </w:r>
    </w:p>
    <w:p w14:paraId="76D2A9B9" w14:textId="77777777" w:rsidR="00C2126D" w:rsidRPr="00722DDC" w:rsidRDefault="00C2126D" w:rsidP="00722DDC">
      <w:pPr>
        <w:pStyle w:val="PargrafodaLista"/>
        <w:widowControl/>
        <w:numPr>
          <w:ilvl w:val="0"/>
          <w:numId w:val="18"/>
        </w:numPr>
        <w:spacing w:line="276" w:lineRule="auto"/>
        <w:jc w:val="both"/>
        <w:rPr>
          <w:rFonts w:asciiTheme="minorHAnsi" w:hAnsiTheme="minorHAnsi" w:cstheme="minorHAnsi"/>
          <w:color w:val="0D0D0D" w:themeColor="text1" w:themeTint="F2"/>
        </w:rPr>
      </w:pPr>
      <w:r w:rsidRPr="00722DDC">
        <w:rPr>
          <w:rFonts w:asciiTheme="minorHAnsi" w:eastAsia="Times New Roman" w:hAnsiTheme="minorHAnsi" w:cstheme="minorHAnsi"/>
          <w:color w:val="0D0D0D" w:themeColor="text1" w:themeTint="F2"/>
        </w:rPr>
        <w:t xml:space="preserve">Revisão do Acordo de Gestão do AIP de </w:t>
      </w:r>
      <w:proofErr w:type="spellStart"/>
      <w:r w:rsidRPr="00722DDC">
        <w:rPr>
          <w:rFonts w:asciiTheme="minorHAnsi" w:eastAsia="Times New Roman" w:hAnsiTheme="minorHAnsi" w:cstheme="minorHAnsi"/>
          <w:color w:val="0D0D0D" w:themeColor="text1" w:themeTint="F2"/>
        </w:rPr>
        <w:t>Sapinhoá</w:t>
      </w:r>
      <w:proofErr w:type="spellEnd"/>
      <w:r w:rsidRPr="00722DDC">
        <w:rPr>
          <w:rFonts w:asciiTheme="minorHAnsi" w:eastAsia="Times New Roman" w:hAnsiTheme="minorHAnsi" w:cstheme="minorHAnsi"/>
          <w:color w:val="0D0D0D" w:themeColor="text1" w:themeTint="F2"/>
        </w:rPr>
        <w:t>.</w:t>
      </w:r>
    </w:p>
    <w:p w14:paraId="0AC60637" w14:textId="77777777" w:rsidR="00C2126D" w:rsidRPr="00722DDC" w:rsidRDefault="00C2126D" w:rsidP="00722DDC">
      <w:pPr>
        <w:pStyle w:val="PargrafodaLista"/>
        <w:widowControl/>
        <w:numPr>
          <w:ilvl w:val="0"/>
          <w:numId w:val="18"/>
        </w:numPr>
        <w:spacing w:line="276" w:lineRule="auto"/>
        <w:jc w:val="both"/>
        <w:rPr>
          <w:rFonts w:asciiTheme="minorHAnsi" w:hAnsiTheme="minorHAnsi" w:cstheme="minorHAnsi"/>
          <w:color w:val="0D0D0D" w:themeColor="text1" w:themeTint="F2"/>
        </w:rPr>
      </w:pPr>
      <w:r w:rsidRPr="00722DDC">
        <w:rPr>
          <w:rFonts w:asciiTheme="minorHAnsi" w:eastAsia="Times New Roman" w:hAnsiTheme="minorHAnsi" w:cstheme="minorHAnsi"/>
          <w:color w:val="0D0D0D" w:themeColor="text1" w:themeTint="F2"/>
        </w:rPr>
        <w:t xml:space="preserve">Discussão dos procedimentos técnicos de </w:t>
      </w:r>
      <w:proofErr w:type="spellStart"/>
      <w:r w:rsidRPr="00722DDC">
        <w:rPr>
          <w:rFonts w:asciiTheme="minorHAnsi" w:eastAsia="Times New Roman" w:hAnsiTheme="minorHAnsi" w:cstheme="minorHAnsi"/>
          <w:color w:val="0D0D0D" w:themeColor="text1" w:themeTint="F2"/>
        </w:rPr>
        <w:t>redeterminação</w:t>
      </w:r>
      <w:proofErr w:type="spellEnd"/>
      <w:r w:rsidRPr="00722DDC">
        <w:rPr>
          <w:rFonts w:asciiTheme="minorHAnsi" w:eastAsia="Times New Roman" w:hAnsiTheme="minorHAnsi" w:cstheme="minorHAnsi"/>
          <w:color w:val="0D0D0D" w:themeColor="text1" w:themeTint="F2"/>
        </w:rPr>
        <w:t xml:space="preserve"> a serem utilizados no AIP de Mero.</w:t>
      </w:r>
    </w:p>
    <w:p w14:paraId="69E914AA" w14:textId="77777777" w:rsidR="00C2126D" w:rsidRPr="00722DDC" w:rsidRDefault="00C2126D" w:rsidP="00722DDC">
      <w:pPr>
        <w:pStyle w:val="PargrafodaLista"/>
        <w:widowControl/>
        <w:numPr>
          <w:ilvl w:val="0"/>
          <w:numId w:val="19"/>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 xml:space="preserve">Assinatura do Acordo de Gestão do Acordo de Individualização de Produção (AIP) de Lula. </w:t>
      </w:r>
    </w:p>
    <w:p w14:paraId="2DCAAFCD" w14:textId="77777777" w:rsidR="00C2126D" w:rsidRPr="00722DDC" w:rsidRDefault="00C2126D" w:rsidP="00722DDC">
      <w:pPr>
        <w:pStyle w:val="PargrafodaLista"/>
        <w:widowControl/>
        <w:numPr>
          <w:ilvl w:val="0"/>
          <w:numId w:val="19"/>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Protocolo na ANP do 1º e 2º Aditivos ao AIP de Tartaruga Verde.</w:t>
      </w:r>
    </w:p>
    <w:p w14:paraId="53C7107B" w14:textId="77777777" w:rsidR="00C2126D" w:rsidRPr="00722DDC" w:rsidRDefault="00C2126D" w:rsidP="00722DDC">
      <w:pPr>
        <w:pStyle w:val="PargrafodaLista"/>
        <w:widowControl/>
        <w:numPr>
          <w:ilvl w:val="0"/>
          <w:numId w:val="19"/>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pela ANP do AIP de Atapu.</w:t>
      </w:r>
    </w:p>
    <w:p w14:paraId="16D023B1" w14:textId="77777777" w:rsidR="00C2126D" w:rsidRPr="00722DDC" w:rsidRDefault="00C2126D" w:rsidP="00722DDC">
      <w:pPr>
        <w:pStyle w:val="PargrafodaLista"/>
        <w:widowControl/>
        <w:numPr>
          <w:ilvl w:val="0"/>
          <w:numId w:val="19"/>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Protocolo na ANP do 1º Aditivo ao AIP de Atapu.</w:t>
      </w:r>
    </w:p>
    <w:p w14:paraId="49F5EB15" w14:textId="77777777" w:rsidR="00C2126D" w:rsidRPr="00722DDC" w:rsidRDefault="00C2126D" w:rsidP="00722DDC">
      <w:pPr>
        <w:pStyle w:val="PargrafodaLista"/>
        <w:widowControl/>
        <w:numPr>
          <w:ilvl w:val="0"/>
          <w:numId w:val="19"/>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 xml:space="preserve">Assinatura do Acordo de Gestão relativo ao AIP de </w:t>
      </w:r>
      <w:proofErr w:type="spellStart"/>
      <w:r w:rsidRPr="00722DDC">
        <w:rPr>
          <w:rFonts w:asciiTheme="minorHAnsi" w:hAnsiTheme="minorHAnsi" w:cstheme="minorHAnsi"/>
          <w:color w:val="0D0D0D" w:themeColor="text1" w:themeTint="F2"/>
        </w:rPr>
        <w:t>Náutilus</w:t>
      </w:r>
      <w:proofErr w:type="spellEnd"/>
      <w:r w:rsidRPr="00722DDC">
        <w:rPr>
          <w:rFonts w:asciiTheme="minorHAnsi" w:hAnsiTheme="minorHAnsi" w:cstheme="minorHAnsi"/>
          <w:color w:val="0D0D0D" w:themeColor="text1" w:themeTint="F2"/>
        </w:rPr>
        <w:t>.</w:t>
      </w:r>
    </w:p>
    <w:p w14:paraId="7A485DCA" w14:textId="77777777" w:rsidR="00C2126D" w:rsidRPr="00722DDC" w:rsidRDefault="00C2126D" w:rsidP="00722DDC">
      <w:pPr>
        <w:pStyle w:val="PargrafodaLista"/>
        <w:widowControl/>
        <w:numPr>
          <w:ilvl w:val="0"/>
          <w:numId w:val="19"/>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pela ANP do AIP de Brava.</w:t>
      </w:r>
    </w:p>
    <w:p w14:paraId="4543146E" w14:textId="77777777" w:rsidR="00C2126D" w:rsidRPr="00722DDC" w:rsidRDefault="00C2126D" w:rsidP="00722DDC">
      <w:pPr>
        <w:spacing w:line="276" w:lineRule="auto"/>
        <w:ind w:firstLine="105"/>
        <w:jc w:val="both"/>
        <w:rPr>
          <w:rFonts w:cstheme="minorHAnsi"/>
          <w:color w:val="0D0D0D" w:themeColor="text1" w:themeTint="F2"/>
        </w:rPr>
      </w:pPr>
    </w:p>
    <w:p w14:paraId="3A7C00D6" w14:textId="77777777" w:rsidR="00CE649D" w:rsidRPr="00722DDC" w:rsidRDefault="00CE649D" w:rsidP="00722DDC">
      <w:pPr>
        <w:spacing w:line="276" w:lineRule="auto"/>
        <w:jc w:val="both"/>
        <w:rPr>
          <w:rFonts w:cstheme="minorHAnsi"/>
          <w:u w:val="single"/>
        </w:rPr>
      </w:pPr>
      <w:r w:rsidRPr="00722DDC">
        <w:rPr>
          <w:rFonts w:cstheme="minorHAnsi"/>
          <w:u w:val="single"/>
        </w:rPr>
        <w:t xml:space="preserve">Equalização de Gastos e Volumes (EGV) </w:t>
      </w:r>
    </w:p>
    <w:p w14:paraId="6DE67991" w14:textId="54C1D2E0" w:rsidR="00C2126D" w:rsidRPr="00722DDC" w:rsidRDefault="00C2126D" w:rsidP="00722DDC">
      <w:pPr>
        <w:shd w:val="clear" w:color="auto" w:fill="FFFFFF"/>
        <w:spacing w:line="276" w:lineRule="auto"/>
        <w:jc w:val="both"/>
        <w:rPr>
          <w:rFonts w:eastAsia="Times New Roman" w:cstheme="minorHAnsi"/>
          <w:color w:val="0D0D0D" w:themeColor="text1" w:themeTint="F2"/>
          <w:spacing w:val="1"/>
          <w:bdr w:val="none" w:sz="0" w:space="0" w:color="auto" w:frame="1"/>
        </w:rPr>
      </w:pPr>
      <w:r w:rsidRPr="00722DDC">
        <w:rPr>
          <w:rFonts w:eastAsia="Times New Roman" w:cstheme="minorHAnsi"/>
          <w:color w:val="0D0D0D" w:themeColor="text1" w:themeTint="F2"/>
        </w:rPr>
        <w:t xml:space="preserve">Após a assinatura de um AIP, a União passa </w:t>
      </w:r>
      <w:r w:rsidRPr="00722DDC">
        <w:rPr>
          <w:rFonts w:eastAsia="Times New Roman" w:cstheme="minorHAnsi"/>
          <w:color w:val="0D0D0D" w:themeColor="text1" w:themeTint="F2"/>
          <w:bdr w:val="none" w:sz="0" w:space="0" w:color="auto" w:frame="1"/>
        </w:rPr>
        <w:t>a ter di</w:t>
      </w:r>
      <w:r w:rsidRPr="00722DDC">
        <w:rPr>
          <w:rFonts w:eastAsia="Times New Roman" w:cstheme="minorHAnsi"/>
          <w:color w:val="0D0D0D" w:themeColor="text1" w:themeTint="F2"/>
          <w:spacing w:val="-1"/>
          <w:bdr w:val="none" w:sz="0" w:space="0" w:color="auto" w:frame="1"/>
        </w:rPr>
        <w:t>r</w:t>
      </w:r>
      <w:r w:rsidRPr="00722DDC">
        <w:rPr>
          <w:rFonts w:eastAsia="Times New Roman" w:cstheme="minorHAnsi"/>
          <w:color w:val="0D0D0D" w:themeColor="text1" w:themeTint="F2"/>
          <w:bdr w:val="none" w:sz="0" w:space="0" w:color="auto" w:frame="1"/>
        </w:rPr>
        <w:t>e</w:t>
      </w:r>
      <w:r w:rsidRPr="00722DDC">
        <w:rPr>
          <w:rFonts w:eastAsia="Times New Roman" w:cstheme="minorHAnsi"/>
          <w:color w:val="0D0D0D" w:themeColor="text1" w:themeTint="F2"/>
          <w:spacing w:val="-2"/>
          <w:bdr w:val="none" w:sz="0" w:space="0" w:color="auto" w:frame="1"/>
        </w:rPr>
        <w:t>i</w:t>
      </w:r>
      <w:r w:rsidRPr="00722DDC">
        <w:rPr>
          <w:rFonts w:eastAsia="Times New Roman" w:cstheme="minorHAnsi"/>
          <w:color w:val="0D0D0D" w:themeColor="text1" w:themeTint="F2"/>
          <w:bdr w:val="none" w:sz="0" w:space="0" w:color="auto" w:frame="1"/>
        </w:rPr>
        <w:t>to a </w:t>
      </w:r>
      <w:r w:rsidRPr="00722DDC">
        <w:rPr>
          <w:rFonts w:eastAsia="Times New Roman" w:cstheme="minorHAnsi"/>
          <w:color w:val="0D0D0D" w:themeColor="text1" w:themeTint="F2"/>
          <w:spacing w:val="-3"/>
          <w:bdr w:val="none" w:sz="0" w:space="0" w:color="auto" w:frame="1"/>
        </w:rPr>
        <w:t>u</w:t>
      </w:r>
      <w:r w:rsidRPr="00722DDC">
        <w:rPr>
          <w:rFonts w:eastAsia="Times New Roman" w:cstheme="minorHAnsi"/>
          <w:color w:val="0D0D0D" w:themeColor="text1" w:themeTint="F2"/>
          <w:spacing w:val="-1"/>
          <w:bdr w:val="none" w:sz="0" w:space="0" w:color="auto" w:frame="1"/>
        </w:rPr>
        <w:t>m</w:t>
      </w:r>
      <w:r w:rsidRPr="00722DDC">
        <w:rPr>
          <w:rFonts w:eastAsia="Times New Roman" w:cstheme="minorHAnsi"/>
          <w:color w:val="0D0D0D" w:themeColor="text1" w:themeTint="F2"/>
          <w:bdr w:val="none" w:sz="0" w:space="0" w:color="auto" w:frame="1"/>
        </w:rPr>
        <w:t>a </w:t>
      </w:r>
      <w:r w:rsidRPr="00722DDC">
        <w:rPr>
          <w:rFonts w:eastAsia="Times New Roman" w:cstheme="minorHAnsi"/>
          <w:color w:val="0D0D0D" w:themeColor="text1" w:themeTint="F2"/>
          <w:spacing w:val="-1"/>
          <w:bdr w:val="none" w:sz="0" w:space="0" w:color="auto" w:frame="1"/>
        </w:rPr>
        <w:t>p</w:t>
      </w:r>
      <w:r w:rsidRPr="00722DDC">
        <w:rPr>
          <w:rFonts w:eastAsia="Times New Roman" w:cstheme="minorHAnsi"/>
          <w:color w:val="0D0D0D" w:themeColor="text1" w:themeTint="F2"/>
          <w:bdr w:val="none" w:sz="0" w:space="0" w:color="auto" w:frame="1"/>
        </w:rPr>
        <w:t>arcela </w:t>
      </w:r>
      <w:r w:rsidRPr="00722DDC">
        <w:rPr>
          <w:rFonts w:eastAsia="Times New Roman" w:cstheme="minorHAnsi"/>
          <w:color w:val="0D0D0D" w:themeColor="text1" w:themeTint="F2"/>
          <w:spacing w:val="-1"/>
          <w:bdr w:val="none" w:sz="0" w:space="0" w:color="auto" w:frame="1"/>
        </w:rPr>
        <w:t>d</w:t>
      </w:r>
      <w:r w:rsidRPr="00722DDC">
        <w:rPr>
          <w:rFonts w:eastAsia="Times New Roman" w:cstheme="minorHAnsi"/>
          <w:color w:val="0D0D0D" w:themeColor="text1" w:themeTint="F2"/>
          <w:bdr w:val="none" w:sz="0" w:space="0" w:color="auto" w:frame="1"/>
        </w:rPr>
        <w:t>a </w:t>
      </w:r>
      <w:r w:rsidRPr="00722DDC">
        <w:rPr>
          <w:rFonts w:eastAsia="Times New Roman" w:cstheme="minorHAnsi"/>
          <w:color w:val="0D0D0D" w:themeColor="text1" w:themeTint="F2"/>
          <w:spacing w:val="-1"/>
          <w:bdr w:val="none" w:sz="0" w:space="0" w:color="auto" w:frame="1"/>
        </w:rPr>
        <w:t>p</w:t>
      </w:r>
      <w:r w:rsidRPr="00722DDC">
        <w:rPr>
          <w:rFonts w:eastAsia="Times New Roman" w:cstheme="minorHAnsi"/>
          <w:color w:val="0D0D0D" w:themeColor="text1" w:themeTint="F2"/>
          <w:bdr w:val="none" w:sz="0" w:space="0" w:color="auto" w:frame="1"/>
        </w:rPr>
        <w:t>r</w:t>
      </w:r>
      <w:r w:rsidRPr="00722DDC">
        <w:rPr>
          <w:rFonts w:eastAsia="Times New Roman" w:cstheme="minorHAnsi"/>
          <w:color w:val="0D0D0D" w:themeColor="text1" w:themeTint="F2"/>
          <w:spacing w:val="1"/>
          <w:bdr w:val="none" w:sz="0" w:space="0" w:color="auto" w:frame="1"/>
        </w:rPr>
        <w:t>o</w:t>
      </w:r>
      <w:r w:rsidRPr="00722DDC">
        <w:rPr>
          <w:rFonts w:eastAsia="Times New Roman" w:cstheme="minorHAnsi"/>
          <w:color w:val="0D0D0D" w:themeColor="text1" w:themeTint="F2"/>
          <w:spacing w:val="-1"/>
          <w:bdr w:val="none" w:sz="0" w:space="0" w:color="auto" w:frame="1"/>
        </w:rPr>
        <w:t>du</w:t>
      </w:r>
      <w:r w:rsidRPr="00722DDC">
        <w:rPr>
          <w:rFonts w:eastAsia="Times New Roman" w:cstheme="minorHAnsi"/>
          <w:color w:val="0D0D0D" w:themeColor="text1" w:themeTint="F2"/>
          <w:bdr w:val="none" w:sz="0" w:space="0" w:color="auto" w:frame="1"/>
        </w:rPr>
        <w:t>ç</w:t>
      </w:r>
      <w:r w:rsidRPr="00722DDC">
        <w:rPr>
          <w:rFonts w:eastAsia="Times New Roman" w:cstheme="minorHAnsi"/>
          <w:color w:val="0D0D0D" w:themeColor="text1" w:themeTint="F2"/>
          <w:spacing w:val="-2"/>
          <w:bdr w:val="none" w:sz="0" w:space="0" w:color="auto" w:frame="1"/>
        </w:rPr>
        <w:t>ã</w:t>
      </w:r>
      <w:r w:rsidRPr="00722DDC">
        <w:rPr>
          <w:rFonts w:eastAsia="Times New Roman" w:cstheme="minorHAnsi"/>
          <w:color w:val="0D0D0D" w:themeColor="text1" w:themeTint="F2"/>
          <w:spacing w:val="2"/>
          <w:bdr w:val="none" w:sz="0" w:space="0" w:color="auto" w:frame="1"/>
        </w:rPr>
        <w:t xml:space="preserve">o das jazidas, assim como </w:t>
      </w:r>
      <w:r w:rsidRPr="00722DDC">
        <w:rPr>
          <w:rFonts w:eastAsia="Times New Roman" w:cstheme="minorHAnsi"/>
          <w:color w:val="0D0D0D" w:themeColor="text1" w:themeTint="F2"/>
        </w:rPr>
        <w:t>a ter</w:t>
      </w:r>
      <w:r w:rsidRPr="00722DDC">
        <w:rPr>
          <w:rFonts w:eastAsia="Times New Roman" w:cstheme="minorHAnsi"/>
          <w:color w:val="0D0D0D" w:themeColor="text1" w:themeTint="F2"/>
          <w:spacing w:val="2"/>
          <w:bdr w:val="none" w:sz="0" w:space="0" w:color="auto" w:frame="1"/>
        </w:rPr>
        <w:t> responsabilidade equivalente sobre os gastos</w:t>
      </w:r>
      <w:r w:rsidRPr="00722DDC">
        <w:rPr>
          <w:rFonts w:eastAsia="Times New Roman" w:cstheme="minorHAnsi"/>
          <w:color w:val="0D0D0D" w:themeColor="text1" w:themeTint="F2"/>
          <w:bdr w:val="none" w:sz="0" w:space="0" w:color="auto" w:frame="1"/>
        </w:rPr>
        <w:t>. Dessa forma, após a efetivação do acordo, é realizado </w:t>
      </w:r>
      <w:r w:rsidRPr="00722DDC">
        <w:rPr>
          <w:rFonts w:eastAsia="Times New Roman" w:cstheme="minorHAnsi"/>
          <w:color w:val="0D0D0D" w:themeColor="text1" w:themeTint="F2"/>
          <w:spacing w:val="-1"/>
          <w:bdr w:val="none" w:sz="0" w:space="0" w:color="auto" w:frame="1"/>
        </w:rPr>
        <w:t>um acerto de contas, considerando </w:t>
      </w:r>
      <w:r w:rsidRPr="00722DDC">
        <w:rPr>
          <w:rFonts w:eastAsia="Times New Roman" w:cstheme="minorHAnsi"/>
          <w:color w:val="0D0D0D" w:themeColor="text1" w:themeTint="F2"/>
          <w:spacing w:val="1"/>
          <w:bdr w:val="none" w:sz="0" w:space="0" w:color="auto" w:frame="1"/>
        </w:rPr>
        <w:t>as</w:t>
      </w:r>
      <w:r w:rsidRPr="00722DDC">
        <w:rPr>
          <w:rFonts w:eastAsia="Times New Roman" w:cstheme="minorHAnsi"/>
          <w:color w:val="0D0D0D" w:themeColor="text1" w:themeTint="F2"/>
          <w:bdr w:val="none" w:sz="0" w:space="0" w:color="auto" w:frame="1"/>
        </w:rPr>
        <w:t> r</w:t>
      </w:r>
      <w:r w:rsidRPr="00722DDC">
        <w:rPr>
          <w:rFonts w:eastAsia="Times New Roman" w:cstheme="minorHAnsi"/>
          <w:color w:val="0D0D0D" w:themeColor="text1" w:themeTint="F2"/>
          <w:spacing w:val="-1"/>
          <w:bdr w:val="none" w:sz="0" w:space="0" w:color="auto" w:frame="1"/>
        </w:rPr>
        <w:t>e</w:t>
      </w:r>
      <w:r w:rsidRPr="00722DDC">
        <w:rPr>
          <w:rFonts w:eastAsia="Times New Roman" w:cstheme="minorHAnsi"/>
          <w:color w:val="0D0D0D" w:themeColor="text1" w:themeTint="F2"/>
          <w:bdr w:val="none" w:sz="0" w:space="0" w:color="auto" w:frame="1"/>
        </w:rPr>
        <w:t>cei</w:t>
      </w:r>
      <w:r w:rsidRPr="00722DDC">
        <w:rPr>
          <w:rFonts w:eastAsia="Times New Roman" w:cstheme="minorHAnsi"/>
          <w:color w:val="0D0D0D" w:themeColor="text1" w:themeTint="F2"/>
          <w:spacing w:val="1"/>
          <w:bdr w:val="none" w:sz="0" w:space="0" w:color="auto" w:frame="1"/>
        </w:rPr>
        <w:t>t</w:t>
      </w:r>
      <w:r w:rsidRPr="00722DDC">
        <w:rPr>
          <w:rFonts w:eastAsia="Times New Roman" w:cstheme="minorHAnsi"/>
          <w:color w:val="0D0D0D" w:themeColor="text1" w:themeTint="F2"/>
          <w:spacing w:val="-3"/>
          <w:bdr w:val="none" w:sz="0" w:space="0" w:color="auto" w:frame="1"/>
        </w:rPr>
        <w:t>a</w:t>
      </w:r>
      <w:r w:rsidRPr="00722DDC">
        <w:rPr>
          <w:rFonts w:eastAsia="Times New Roman" w:cstheme="minorHAnsi"/>
          <w:color w:val="0D0D0D" w:themeColor="text1" w:themeTint="F2"/>
          <w:bdr w:val="none" w:sz="0" w:space="0" w:color="auto" w:frame="1"/>
        </w:rPr>
        <w:t>s obtidas com a produção desde o in</w:t>
      </w:r>
      <w:r w:rsidRPr="00722DDC">
        <w:rPr>
          <w:rFonts w:eastAsia="Times New Roman" w:cstheme="minorHAnsi"/>
          <w:color w:val="0D0D0D" w:themeColor="text1" w:themeTint="F2"/>
          <w:spacing w:val="-1"/>
          <w:bdr w:val="none" w:sz="0" w:space="0" w:color="auto" w:frame="1"/>
        </w:rPr>
        <w:t>í</w:t>
      </w:r>
      <w:r w:rsidRPr="00722DDC">
        <w:rPr>
          <w:rFonts w:eastAsia="Times New Roman" w:cstheme="minorHAnsi"/>
          <w:color w:val="0D0D0D" w:themeColor="text1" w:themeTint="F2"/>
          <w:bdr w:val="none" w:sz="0" w:space="0" w:color="auto" w:frame="1"/>
        </w:rPr>
        <w:t>c</w:t>
      </w:r>
      <w:r w:rsidRPr="00722DDC">
        <w:rPr>
          <w:rFonts w:eastAsia="Times New Roman" w:cstheme="minorHAnsi"/>
          <w:color w:val="0D0D0D" w:themeColor="text1" w:themeTint="F2"/>
          <w:spacing w:val="-3"/>
          <w:bdr w:val="none" w:sz="0" w:space="0" w:color="auto" w:frame="1"/>
        </w:rPr>
        <w:t>i</w:t>
      </w:r>
      <w:r w:rsidRPr="00722DDC">
        <w:rPr>
          <w:rFonts w:eastAsia="Times New Roman" w:cstheme="minorHAnsi"/>
          <w:color w:val="0D0D0D" w:themeColor="text1" w:themeTint="F2"/>
          <w:bdr w:val="none" w:sz="0" w:space="0" w:color="auto" w:frame="1"/>
        </w:rPr>
        <w:t>o da exploração de cada jazida e, na </w:t>
      </w:r>
      <w:r w:rsidRPr="00722DDC">
        <w:rPr>
          <w:rFonts w:eastAsia="Times New Roman" w:cstheme="minorHAnsi"/>
          <w:color w:val="0D0D0D" w:themeColor="text1" w:themeTint="F2"/>
          <w:spacing w:val="-1"/>
          <w:bdr w:val="none" w:sz="0" w:space="0" w:color="auto" w:frame="1"/>
        </w:rPr>
        <w:t>m</w:t>
      </w:r>
      <w:r w:rsidRPr="00722DDC">
        <w:rPr>
          <w:rFonts w:eastAsia="Times New Roman" w:cstheme="minorHAnsi"/>
          <w:color w:val="0D0D0D" w:themeColor="text1" w:themeTint="F2"/>
          <w:bdr w:val="none" w:sz="0" w:space="0" w:color="auto" w:frame="1"/>
        </w:rPr>
        <w:t>es</w:t>
      </w:r>
      <w:r w:rsidRPr="00722DDC">
        <w:rPr>
          <w:rFonts w:eastAsia="Times New Roman" w:cstheme="minorHAnsi"/>
          <w:color w:val="0D0D0D" w:themeColor="text1" w:themeTint="F2"/>
          <w:spacing w:val="-1"/>
          <w:bdr w:val="none" w:sz="0" w:space="0" w:color="auto" w:frame="1"/>
        </w:rPr>
        <w:t>m</w:t>
      </w:r>
      <w:r w:rsidRPr="00722DDC">
        <w:rPr>
          <w:rFonts w:eastAsia="Times New Roman" w:cstheme="minorHAnsi"/>
          <w:color w:val="0D0D0D" w:themeColor="text1" w:themeTint="F2"/>
          <w:bdr w:val="none" w:sz="0" w:space="0" w:color="auto" w:frame="1"/>
        </w:rPr>
        <w:t>a prop</w:t>
      </w:r>
      <w:r w:rsidRPr="00722DDC">
        <w:rPr>
          <w:rFonts w:eastAsia="Times New Roman" w:cstheme="minorHAnsi"/>
          <w:color w:val="0D0D0D" w:themeColor="text1" w:themeTint="F2"/>
          <w:spacing w:val="-2"/>
          <w:bdr w:val="none" w:sz="0" w:space="0" w:color="auto" w:frame="1"/>
        </w:rPr>
        <w:t>o</w:t>
      </w:r>
      <w:r w:rsidRPr="00722DDC">
        <w:rPr>
          <w:rFonts w:eastAsia="Times New Roman" w:cstheme="minorHAnsi"/>
          <w:color w:val="0D0D0D" w:themeColor="text1" w:themeTint="F2"/>
          <w:bdr w:val="none" w:sz="0" w:space="0" w:color="auto" w:frame="1"/>
        </w:rPr>
        <w:t>rç</w:t>
      </w:r>
      <w:r w:rsidRPr="00722DDC">
        <w:rPr>
          <w:rFonts w:eastAsia="Times New Roman" w:cstheme="minorHAnsi"/>
          <w:color w:val="0D0D0D" w:themeColor="text1" w:themeTint="F2"/>
          <w:spacing w:val="-3"/>
          <w:bdr w:val="none" w:sz="0" w:space="0" w:color="auto" w:frame="1"/>
        </w:rPr>
        <w:t>ã</w:t>
      </w:r>
      <w:r w:rsidRPr="00722DDC">
        <w:rPr>
          <w:rFonts w:eastAsia="Times New Roman" w:cstheme="minorHAnsi"/>
          <w:color w:val="0D0D0D" w:themeColor="text1" w:themeTint="F2"/>
          <w:spacing w:val="1"/>
          <w:bdr w:val="none" w:sz="0" w:space="0" w:color="auto" w:frame="1"/>
        </w:rPr>
        <w:t>o</w:t>
      </w:r>
      <w:r w:rsidRPr="00722DDC">
        <w:rPr>
          <w:rFonts w:eastAsia="Times New Roman" w:cstheme="minorHAnsi"/>
          <w:color w:val="0D0D0D" w:themeColor="text1" w:themeTint="F2"/>
          <w:bdr w:val="none" w:sz="0" w:space="0" w:color="auto" w:frame="1"/>
        </w:rPr>
        <w:t>, os investimentos e </w:t>
      </w:r>
      <w:r w:rsidRPr="00722DDC">
        <w:rPr>
          <w:rFonts w:eastAsia="Times New Roman" w:cstheme="minorHAnsi"/>
          <w:color w:val="0D0D0D" w:themeColor="text1" w:themeTint="F2"/>
          <w:spacing w:val="-3"/>
          <w:bdr w:val="none" w:sz="0" w:space="0" w:color="auto" w:frame="1"/>
        </w:rPr>
        <w:t>d</w:t>
      </w:r>
      <w:r w:rsidRPr="00722DDC">
        <w:rPr>
          <w:rFonts w:eastAsia="Times New Roman" w:cstheme="minorHAnsi"/>
          <w:color w:val="0D0D0D" w:themeColor="text1" w:themeTint="F2"/>
          <w:bdr w:val="none" w:sz="0" w:space="0" w:color="auto" w:frame="1"/>
        </w:rPr>
        <w:t>espesas do </w:t>
      </w:r>
      <w:r w:rsidRPr="00722DDC">
        <w:rPr>
          <w:rFonts w:eastAsia="Times New Roman" w:cstheme="minorHAnsi"/>
          <w:color w:val="0D0D0D" w:themeColor="text1" w:themeTint="F2"/>
          <w:spacing w:val="-3"/>
          <w:bdr w:val="none" w:sz="0" w:space="0" w:color="auto" w:frame="1"/>
        </w:rPr>
        <w:t>p</w:t>
      </w:r>
      <w:r w:rsidRPr="00722DDC">
        <w:rPr>
          <w:rFonts w:eastAsia="Times New Roman" w:cstheme="minorHAnsi"/>
          <w:color w:val="0D0D0D" w:themeColor="text1" w:themeTint="F2"/>
          <w:bdr w:val="none" w:sz="0" w:space="0" w:color="auto" w:frame="1"/>
        </w:rPr>
        <w:t>erí</w:t>
      </w:r>
      <w:r w:rsidRPr="00722DDC">
        <w:rPr>
          <w:rFonts w:eastAsia="Times New Roman" w:cstheme="minorHAnsi"/>
          <w:color w:val="0D0D0D" w:themeColor="text1" w:themeTint="F2"/>
          <w:spacing w:val="1"/>
          <w:bdr w:val="none" w:sz="0" w:space="0" w:color="auto" w:frame="1"/>
        </w:rPr>
        <w:t>o</w:t>
      </w:r>
      <w:r w:rsidRPr="00722DDC">
        <w:rPr>
          <w:rFonts w:eastAsia="Times New Roman" w:cstheme="minorHAnsi"/>
          <w:color w:val="0D0D0D" w:themeColor="text1" w:themeTint="F2"/>
          <w:spacing w:val="-3"/>
          <w:bdr w:val="none" w:sz="0" w:space="0" w:color="auto" w:frame="1"/>
        </w:rPr>
        <w:t>d</w:t>
      </w:r>
      <w:r w:rsidRPr="00722DDC">
        <w:rPr>
          <w:rFonts w:eastAsia="Times New Roman" w:cstheme="minorHAnsi"/>
          <w:color w:val="0D0D0D" w:themeColor="text1" w:themeTint="F2"/>
          <w:spacing w:val="1"/>
          <w:bdr w:val="none" w:sz="0" w:space="0" w:color="auto" w:frame="1"/>
        </w:rPr>
        <w:t>o. </w:t>
      </w:r>
    </w:p>
    <w:p w14:paraId="3DD2B25A" w14:textId="16165AC5" w:rsidR="00C2126D" w:rsidRPr="00722DDC" w:rsidRDefault="00C2126D" w:rsidP="00722DDC">
      <w:pPr>
        <w:shd w:val="clear" w:color="auto" w:fill="FFFFFF"/>
        <w:spacing w:line="276" w:lineRule="auto"/>
        <w:jc w:val="both"/>
        <w:rPr>
          <w:rFonts w:eastAsia="Times New Roman" w:cstheme="minorHAnsi"/>
          <w:color w:val="0D0D0D" w:themeColor="text1" w:themeTint="F2"/>
          <w:spacing w:val="-2"/>
          <w:bdr w:val="none" w:sz="0" w:space="0" w:color="auto" w:frame="1"/>
        </w:rPr>
      </w:pPr>
      <w:r w:rsidRPr="00722DDC">
        <w:rPr>
          <w:rFonts w:eastAsia="Times New Roman" w:cstheme="minorHAnsi"/>
          <w:color w:val="0D0D0D" w:themeColor="text1" w:themeTint="F2"/>
        </w:rPr>
        <w:t xml:space="preserve">Em 2019, a empresa realizou conciliações financeiras (Equalização de Gastos e Volumes) referentes aos </w:t>
      </w:r>
      <w:proofErr w:type="spellStart"/>
      <w:r w:rsidRPr="00722DDC">
        <w:rPr>
          <w:rFonts w:eastAsia="Times New Roman" w:cstheme="minorHAnsi"/>
          <w:color w:val="0D0D0D" w:themeColor="text1" w:themeTint="F2"/>
        </w:rPr>
        <w:t>AIPs</w:t>
      </w:r>
      <w:proofErr w:type="spellEnd"/>
      <w:r w:rsidRPr="00722DDC">
        <w:rPr>
          <w:rFonts w:eastAsia="Times New Roman" w:cstheme="minorHAnsi"/>
          <w:color w:val="0D0D0D" w:themeColor="text1" w:themeTint="F2"/>
        </w:rPr>
        <w:t xml:space="preserve"> das jazidas compartilhadas de </w:t>
      </w:r>
      <w:proofErr w:type="spellStart"/>
      <w:r w:rsidRPr="00722DDC">
        <w:rPr>
          <w:rFonts w:eastAsia="Times New Roman" w:cstheme="minorHAnsi"/>
          <w:color w:val="0D0D0D" w:themeColor="text1" w:themeTint="F2"/>
        </w:rPr>
        <w:t>Sapinhoá</w:t>
      </w:r>
      <w:proofErr w:type="spellEnd"/>
      <w:r w:rsidRPr="00722DDC">
        <w:rPr>
          <w:rFonts w:eastAsia="Times New Roman" w:cstheme="minorHAnsi"/>
          <w:color w:val="0D0D0D" w:themeColor="text1" w:themeTint="F2"/>
        </w:rPr>
        <w:t>, Tartaruga Verde e Lula, que resultaram em uma</w:t>
      </w:r>
      <w:r w:rsidRPr="00722DDC">
        <w:rPr>
          <w:rFonts w:eastAsia="Times New Roman" w:cstheme="minorHAnsi"/>
          <w:color w:val="0D0D0D" w:themeColor="text1" w:themeTint="F2"/>
          <w:spacing w:val="-2"/>
          <w:bdr w:val="none" w:sz="0" w:space="0" w:color="auto" w:frame="1"/>
        </w:rPr>
        <w:t xml:space="preserve"> arrecadação total de </w:t>
      </w:r>
      <w:r w:rsidR="00674AD2">
        <w:rPr>
          <w:rFonts w:eastAsia="Times New Roman" w:cstheme="minorHAnsi"/>
          <w:color w:val="0D0D0D" w:themeColor="text1" w:themeTint="F2"/>
          <w:spacing w:val="-2"/>
          <w:bdr w:val="none" w:sz="0" w:space="0" w:color="auto" w:frame="1"/>
        </w:rPr>
        <w:t xml:space="preserve">cerca de </w:t>
      </w:r>
      <w:r w:rsidRPr="00722DDC">
        <w:rPr>
          <w:rFonts w:eastAsia="Times New Roman" w:cstheme="minorHAnsi"/>
          <w:color w:val="0D0D0D" w:themeColor="text1" w:themeTint="F2"/>
          <w:spacing w:val="-2"/>
          <w:bdr w:val="none" w:sz="0" w:space="0" w:color="auto" w:frame="1"/>
        </w:rPr>
        <w:t xml:space="preserve">R$ 378 milhões para a União. </w:t>
      </w:r>
    </w:p>
    <w:p w14:paraId="3818E39C" w14:textId="2DE09A6F" w:rsidR="00C2126D" w:rsidRPr="00722DDC" w:rsidRDefault="00C2126D" w:rsidP="00722DDC">
      <w:pPr>
        <w:shd w:val="clear" w:color="auto" w:fill="FFFFFF"/>
        <w:spacing w:line="276" w:lineRule="auto"/>
        <w:jc w:val="both"/>
        <w:rPr>
          <w:rFonts w:eastAsia="Times New Roman" w:cstheme="minorHAnsi"/>
          <w:color w:val="0D0D0D" w:themeColor="text1" w:themeTint="F2"/>
          <w:spacing w:val="-2"/>
          <w:bdr w:val="none" w:sz="0" w:space="0" w:color="auto" w:frame="1"/>
        </w:rPr>
      </w:pPr>
    </w:p>
    <w:p w14:paraId="079B911D" w14:textId="77777777" w:rsidR="00104C10" w:rsidRDefault="00104C10" w:rsidP="00722DDC">
      <w:pPr>
        <w:spacing w:line="276" w:lineRule="auto"/>
        <w:jc w:val="both"/>
        <w:rPr>
          <w:rFonts w:cstheme="minorHAnsi"/>
          <w:color w:val="0D0D0D" w:themeColor="text1" w:themeTint="F2"/>
        </w:rPr>
      </w:pPr>
    </w:p>
    <w:p w14:paraId="53AEA438" w14:textId="51AD7CDA" w:rsidR="00C2126D" w:rsidRPr="00722DDC" w:rsidRDefault="00C2126D" w:rsidP="00722DDC">
      <w:pPr>
        <w:spacing w:line="276" w:lineRule="auto"/>
        <w:jc w:val="both"/>
        <w:rPr>
          <w:rFonts w:cstheme="minorHAnsi"/>
          <w:color w:val="0D0D0D" w:themeColor="text1" w:themeTint="F2"/>
        </w:rPr>
      </w:pPr>
      <w:r w:rsidRPr="00722DDC">
        <w:rPr>
          <w:rFonts w:cstheme="minorHAnsi"/>
          <w:noProof/>
          <w:lang w:eastAsia="pt-BR"/>
        </w:rPr>
        <w:drawing>
          <wp:inline distT="0" distB="0" distL="0" distR="0" wp14:anchorId="6DDECA50" wp14:editId="17045454">
            <wp:extent cx="3028950" cy="2832039"/>
            <wp:effectExtent l="0" t="0" r="0" b="6985"/>
            <wp:docPr id="1379203491" name="Imagem 147020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0206273"/>
                    <pic:cNvPicPr/>
                  </pic:nvPicPr>
                  <pic:blipFill>
                    <a:blip r:embed="rId18">
                      <a:extLst>
                        <a:ext uri="{28A0092B-C50C-407E-A947-70E740481C1C}">
                          <a14:useLocalDpi xmlns:a14="http://schemas.microsoft.com/office/drawing/2010/main" val="0"/>
                        </a:ext>
                      </a:extLst>
                    </a:blip>
                    <a:stretch>
                      <a:fillRect/>
                    </a:stretch>
                  </pic:blipFill>
                  <pic:spPr>
                    <a:xfrm>
                      <a:off x="0" y="0"/>
                      <a:ext cx="3028950" cy="2832039"/>
                    </a:xfrm>
                    <a:prstGeom prst="rect">
                      <a:avLst/>
                    </a:prstGeom>
                  </pic:spPr>
                </pic:pic>
              </a:graphicData>
            </a:graphic>
          </wp:inline>
        </w:drawing>
      </w:r>
    </w:p>
    <w:p w14:paraId="7A0A7BD4" w14:textId="77777777" w:rsidR="00104C10" w:rsidRDefault="00104C10" w:rsidP="00163B79">
      <w:pPr>
        <w:spacing w:line="276" w:lineRule="auto"/>
        <w:ind w:left="-142"/>
        <w:jc w:val="both"/>
        <w:rPr>
          <w:rFonts w:cstheme="minorHAnsi"/>
          <w:color w:val="008192"/>
        </w:rPr>
      </w:pPr>
    </w:p>
    <w:p w14:paraId="17216DB5" w14:textId="761AB7CF" w:rsidR="00CE649D" w:rsidRPr="00722DDC" w:rsidRDefault="00CE649D" w:rsidP="00163B79">
      <w:pPr>
        <w:spacing w:line="276" w:lineRule="auto"/>
        <w:ind w:left="-142"/>
        <w:jc w:val="both"/>
        <w:rPr>
          <w:rFonts w:cstheme="minorHAnsi"/>
          <w:color w:val="008192"/>
        </w:rPr>
      </w:pPr>
      <w:r w:rsidRPr="00722DDC">
        <w:rPr>
          <w:rFonts w:cstheme="minorHAnsi"/>
          <w:color w:val="008192"/>
        </w:rPr>
        <w:t xml:space="preserve">Atividades desenvolvidas </w:t>
      </w:r>
      <w:r w:rsidR="009F51A1">
        <w:rPr>
          <w:rFonts w:cstheme="minorHAnsi"/>
          <w:color w:val="008192"/>
        </w:rPr>
        <w:t>–</w:t>
      </w:r>
      <w:r w:rsidRPr="00722DDC">
        <w:rPr>
          <w:rFonts w:cstheme="minorHAnsi"/>
          <w:color w:val="008192"/>
        </w:rPr>
        <w:t xml:space="preserve"> </w:t>
      </w:r>
      <w:r w:rsidR="009C262E">
        <w:rPr>
          <w:rFonts w:cstheme="minorHAnsi"/>
          <w:color w:val="008192"/>
        </w:rPr>
        <w:t>C</w:t>
      </w:r>
      <w:r w:rsidRPr="009C262E">
        <w:rPr>
          <w:rFonts w:cstheme="minorHAnsi"/>
          <w:color w:val="008192"/>
        </w:rPr>
        <w:t>omercialização de</w:t>
      </w:r>
      <w:r w:rsidRPr="00722DDC">
        <w:rPr>
          <w:rFonts w:cstheme="minorHAnsi"/>
          <w:color w:val="008192"/>
        </w:rPr>
        <w:t xml:space="preserve"> petróleo e gás da União </w:t>
      </w:r>
    </w:p>
    <w:p w14:paraId="6BA93B4D" w14:textId="1E863E8F" w:rsidR="00CE649D" w:rsidRPr="00722DDC" w:rsidRDefault="00CE649D" w:rsidP="00722DDC">
      <w:pPr>
        <w:shd w:val="clear" w:color="auto" w:fill="FFFFFF"/>
        <w:spacing w:line="276" w:lineRule="auto"/>
        <w:ind w:left="-142"/>
        <w:jc w:val="both"/>
        <w:rPr>
          <w:rFonts w:eastAsia="Times New Roman" w:cstheme="minorHAnsi"/>
          <w:bdr w:val="none" w:sz="0" w:space="0" w:color="auto" w:frame="1"/>
        </w:rPr>
      </w:pPr>
      <w:r w:rsidRPr="00722DDC">
        <w:rPr>
          <w:rFonts w:cstheme="minorHAnsi"/>
        </w:rPr>
        <w:lastRenderedPageBreak/>
        <w:t xml:space="preserve">A </w:t>
      </w:r>
      <w:proofErr w:type="spellStart"/>
      <w:r w:rsidRPr="00722DDC">
        <w:rPr>
          <w:rFonts w:cstheme="minorHAnsi"/>
        </w:rPr>
        <w:t>Pré</w:t>
      </w:r>
      <w:proofErr w:type="spellEnd"/>
      <w:r w:rsidRPr="00722DDC">
        <w:rPr>
          <w:rFonts w:cstheme="minorHAnsi"/>
        </w:rPr>
        <w:t xml:space="preserve">-Sal Petróleo é responsável pela comercialização de toda a parcela de óleo e gás natural de propriedade da União. Toda a receita gerada na comercialização é destinada à União. </w:t>
      </w:r>
      <w:r w:rsidRPr="00722DDC">
        <w:rPr>
          <w:rFonts w:eastAsia="Times New Roman" w:cstheme="minorHAnsi"/>
          <w:bdr w:val="none" w:sz="0" w:space="0" w:color="auto" w:frame="1"/>
        </w:rPr>
        <w:t xml:space="preserve">Em 2019, a empresa comercializou 2,6 milhões de barris de petróleo da União na área de desenvolvimento de Mero (Libra) e Entorno de </w:t>
      </w:r>
      <w:proofErr w:type="spellStart"/>
      <w:r w:rsidRPr="00722DDC">
        <w:rPr>
          <w:rFonts w:eastAsia="Times New Roman" w:cstheme="minorHAnsi"/>
          <w:bdr w:val="none" w:sz="0" w:space="0" w:color="auto" w:frame="1"/>
        </w:rPr>
        <w:t>Sapinhoá</w:t>
      </w:r>
      <w:proofErr w:type="spellEnd"/>
      <w:r w:rsidRPr="00722DDC">
        <w:rPr>
          <w:rFonts w:eastAsia="Times New Roman" w:cstheme="minorHAnsi"/>
          <w:bdr w:val="none" w:sz="0" w:space="0" w:color="auto" w:frame="1"/>
        </w:rPr>
        <w:t>, arrecadando R$ 469 milhões. Também foram faturados</w:t>
      </w:r>
      <w:r w:rsidR="009F51A1">
        <w:rPr>
          <w:rFonts w:eastAsia="Times New Roman" w:cstheme="minorHAnsi"/>
          <w:bdr w:val="none" w:sz="0" w:space="0" w:color="auto" w:frame="1"/>
        </w:rPr>
        <w:t>,</w:t>
      </w:r>
      <w:r w:rsidRPr="00722DDC">
        <w:rPr>
          <w:rFonts w:eastAsia="Times New Roman" w:cstheme="minorHAnsi"/>
          <w:bdr w:val="none" w:sz="0" w:space="0" w:color="auto" w:frame="1"/>
        </w:rPr>
        <w:t xml:space="preserve"> até o mês de dezembro desse mesmo ano</w:t>
      </w:r>
      <w:r w:rsidR="009F51A1">
        <w:rPr>
          <w:rFonts w:eastAsia="Times New Roman" w:cstheme="minorHAnsi"/>
          <w:bdr w:val="none" w:sz="0" w:space="0" w:color="auto" w:frame="1"/>
        </w:rPr>
        <w:t>,</w:t>
      </w:r>
      <w:r w:rsidRPr="00722DDC">
        <w:rPr>
          <w:rFonts w:eastAsia="Times New Roman" w:cstheme="minorHAnsi"/>
          <w:bdr w:val="none" w:sz="0" w:space="0" w:color="auto" w:frame="1"/>
        </w:rPr>
        <w:t xml:space="preserve"> </w:t>
      </w:r>
      <w:r w:rsidR="00674AD2">
        <w:rPr>
          <w:rFonts w:eastAsia="Times New Roman" w:cstheme="minorHAnsi"/>
          <w:bdr w:val="none" w:sz="0" w:space="0" w:color="auto" w:frame="1"/>
        </w:rPr>
        <w:t xml:space="preserve">o equivalente a </w:t>
      </w:r>
      <w:r w:rsidRPr="00722DDC">
        <w:rPr>
          <w:rFonts w:eastAsia="Times New Roman" w:cstheme="minorHAnsi"/>
          <w:bdr w:val="none" w:sz="0" w:space="0" w:color="auto" w:frame="1"/>
        </w:rPr>
        <w:t xml:space="preserve">16,2 milhões de metros cúbicos de gás natural da União nos Campos de Lula e Entorno de </w:t>
      </w:r>
      <w:proofErr w:type="spellStart"/>
      <w:r w:rsidRPr="00722DDC">
        <w:rPr>
          <w:rFonts w:eastAsia="Times New Roman" w:cstheme="minorHAnsi"/>
          <w:bdr w:val="none" w:sz="0" w:space="0" w:color="auto" w:frame="1"/>
        </w:rPr>
        <w:t>Sapinhoá</w:t>
      </w:r>
      <w:proofErr w:type="spellEnd"/>
      <w:r w:rsidRPr="00722DDC">
        <w:rPr>
          <w:rFonts w:eastAsia="Times New Roman" w:cstheme="minorHAnsi"/>
          <w:bdr w:val="none" w:sz="0" w:space="0" w:color="auto" w:frame="1"/>
        </w:rPr>
        <w:t xml:space="preserve">, produzidos e exportados até o mês de novembro do ano passado, no valor de R$ 1 milhão. </w:t>
      </w:r>
    </w:p>
    <w:p w14:paraId="14050651" w14:textId="13C3AA4D" w:rsidR="00CE649D" w:rsidRPr="00722DDC" w:rsidRDefault="00CE649D" w:rsidP="00722DDC">
      <w:pPr>
        <w:shd w:val="clear" w:color="auto" w:fill="FFFFFF"/>
        <w:spacing w:line="276" w:lineRule="auto"/>
        <w:ind w:left="-142"/>
        <w:jc w:val="both"/>
        <w:rPr>
          <w:rFonts w:cstheme="minorHAnsi"/>
        </w:rPr>
      </w:pPr>
      <w:r w:rsidRPr="00722DDC">
        <w:rPr>
          <w:rFonts w:eastAsia="Times New Roman" w:cstheme="minorHAnsi"/>
          <w:bdr w:val="none" w:sz="0" w:space="0" w:color="auto" w:frame="1"/>
        </w:rPr>
        <w:t xml:space="preserve">Com o faturamento, em janeiro de 2020, das produções do mês de dezembro, o volume total final de gás natural comercializado no ano de 2019 passou a </w:t>
      </w:r>
      <w:r w:rsidRPr="00722DDC">
        <w:rPr>
          <w:rFonts w:cstheme="minorHAnsi"/>
        </w:rPr>
        <w:t>18,8 milhões de metros cúbicos</w:t>
      </w:r>
      <w:r w:rsidR="009F51A1">
        <w:rPr>
          <w:rFonts w:cstheme="minorHAnsi"/>
        </w:rPr>
        <w:t>,</w:t>
      </w:r>
      <w:r w:rsidRPr="00722DDC">
        <w:rPr>
          <w:rFonts w:cstheme="minorHAnsi"/>
        </w:rPr>
        <w:t xml:space="preserve"> no valor total aproximado de R$ 1,4 milhão. </w:t>
      </w:r>
    </w:p>
    <w:p w14:paraId="1FD01503" w14:textId="77B61EEE" w:rsidR="00CE649D" w:rsidRPr="00722DDC" w:rsidRDefault="00CE649D" w:rsidP="00722DDC">
      <w:pPr>
        <w:pStyle w:val="NormalWeb"/>
        <w:spacing w:line="276" w:lineRule="auto"/>
        <w:ind w:left="-142"/>
        <w:jc w:val="both"/>
        <w:rPr>
          <w:rFonts w:asciiTheme="minorHAnsi" w:hAnsiTheme="minorHAnsi" w:cstheme="minorHAnsi"/>
          <w:sz w:val="22"/>
          <w:szCs w:val="22"/>
        </w:rPr>
      </w:pPr>
      <w:r w:rsidRPr="00722DDC">
        <w:rPr>
          <w:rFonts w:asciiTheme="minorHAnsi" w:hAnsiTheme="minorHAnsi" w:cstheme="minorHAnsi"/>
          <w:sz w:val="22"/>
          <w:szCs w:val="22"/>
        </w:rPr>
        <w:t>Confira abaixo a tabela com as cargas de petróleo e gás natural comercializadas em 2019: </w:t>
      </w:r>
    </w:p>
    <w:p w14:paraId="0CC2E7CA" w14:textId="59BEF58C" w:rsidR="00CE649D" w:rsidRPr="00722DDC" w:rsidRDefault="00CE649D" w:rsidP="00722DDC">
      <w:pPr>
        <w:pStyle w:val="NormalWeb"/>
        <w:spacing w:line="276" w:lineRule="auto"/>
        <w:ind w:left="-142"/>
        <w:jc w:val="both"/>
        <w:rPr>
          <w:rFonts w:asciiTheme="minorHAnsi" w:hAnsiTheme="minorHAnsi" w:cstheme="minorHAnsi"/>
          <w:sz w:val="22"/>
          <w:szCs w:val="22"/>
        </w:rPr>
      </w:pPr>
      <w:r w:rsidRPr="00722DDC">
        <w:rPr>
          <w:rFonts w:asciiTheme="minorHAnsi" w:hAnsiTheme="minorHAnsi" w:cstheme="minorHAnsi"/>
          <w:sz w:val="22"/>
          <w:szCs w:val="22"/>
        </w:rPr>
        <w:t>Volumes de petróleo comercializados em 2019:</w:t>
      </w:r>
    </w:p>
    <w:p w14:paraId="2C42DFBD" w14:textId="378FB0DF" w:rsidR="00CE649D" w:rsidRPr="00722DDC" w:rsidRDefault="00EF1EB4" w:rsidP="00722DDC">
      <w:pPr>
        <w:pStyle w:val="NormalWeb"/>
        <w:spacing w:line="276" w:lineRule="auto"/>
        <w:ind w:left="-851" w:firstLine="142"/>
        <w:jc w:val="both"/>
        <w:rPr>
          <w:rFonts w:asciiTheme="minorHAnsi" w:hAnsiTheme="minorHAnsi" w:cstheme="minorHAnsi"/>
          <w:sz w:val="22"/>
          <w:szCs w:val="22"/>
        </w:rPr>
      </w:pPr>
      <w:r>
        <w:rPr>
          <w:rFonts w:asciiTheme="minorHAnsi" w:hAnsiTheme="minorHAnsi" w:cstheme="minorHAnsi"/>
          <w:noProof/>
          <w:sz w:val="22"/>
          <w:szCs w:val="22"/>
        </w:rPr>
        <w:t xml:space="preserve">             </w:t>
      </w:r>
      <w:r>
        <w:rPr>
          <w:noProof/>
        </w:rPr>
        <w:drawing>
          <wp:inline distT="0" distB="0" distL="0" distR="0" wp14:anchorId="1E812DBC" wp14:editId="51E24C51">
            <wp:extent cx="4933744" cy="2647950"/>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9598" cy="2651092"/>
                    </a:xfrm>
                    <a:prstGeom prst="rect">
                      <a:avLst/>
                    </a:prstGeom>
                  </pic:spPr>
                </pic:pic>
              </a:graphicData>
            </a:graphic>
          </wp:inline>
        </w:drawing>
      </w:r>
    </w:p>
    <w:p w14:paraId="6FF9E1EE" w14:textId="77777777" w:rsidR="00163B79" w:rsidRDefault="00163B79" w:rsidP="00EF1EB4">
      <w:pPr>
        <w:spacing w:line="276" w:lineRule="auto"/>
        <w:jc w:val="both"/>
        <w:rPr>
          <w:rFonts w:cstheme="minorHAnsi"/>
          <w:color w:val="008192"/>
        </w:rPr>
      </w:pPr>
    </w:p>
    <w:p w14:paraId="1C1B5F65" w14:textId="0E331883" w:rsidR="00163B79" w:rsidRPr="00600F11" w:rsidRDefault="00163B79" w:rsidP="00600F11">
      <w:pPr>
        <w:pStyle w:val="Default"/>
        <w:jc w:val="both"/>
        <w:rPr>
          <w:rFonts w:asciiTheme="minorHAnsi" w:hAnsiTheme="minorHAnsi" w:cstheme="minorHAnsi"/>
          <w:b/>
          <w:bCs/>
          <w:color w:val="008192"/>
          <w:sz w:val="22"/>
          <w:szCs w:val="22"/>
        </w:rPr>
      </w:pPr>
      <w:r w:rsidRPr="00600F11">
        <w:rPr>
          <w:rFonts w:asciiTheme="minorHAnsi" w:hAnsiTheme="minorHAnsi" w:cstheme="minorHAnsi"/>
          <w:b/>
          <w:bCs/>
          <w:color w:val="008192"/>
          <w:sz w:val="22"/>
          <w:szCs w:val="22"/>
        </w:rPr>
        <w:t xml:space="preserve">Transformação Digital  </w:t>
      </w:r>
    </w:p>
    <w:p w14:paraId="0BA37B6F" w14:textId="77777777" w:rsidR="00600F11" w:rsidRDefault="00600F11" w:rsidP="00EE0CF5">
      <w:pPr>
        <w:pStyle w:val="Default"/>
        <w:jc w:val="both"/>
        <w:rPr>
          <w:sz w:val="22"/>
          <w:szCs w:val="22"/>
        </w:rPr>
      </w:pPr>
    </w:p>
    <w:p w14:paraId="63A8B7C5" w14:textId="59401CF3" w:rsidR="00163B79" w:rsidRPr="00EE0CF5" w:rsidRDefault="00163B79" w:rsidP="00EE0CF5">
      <w:pPr>
        <w:pStyle w:val="Default"/>
        <w:jc w:val="both"/>
        <w:rPr>
          <w:sz w:val="22"/>
          <w:szCs w:val="22"/>
        </w:rPr>
      </w:pPr>
      <w:r w:rsidRPr="00EE0CF5">
        <w:rPr>
          <w:sz w:val="22"/>
          <w:szCs w:val="22"/>
        </w:rPr>
        <w:t xml:space="preserve">Em linha com a inovação em curso por todo o mercado, a companhia está em meio à sua transformação digital. A empresa tem trabalhado em diversos projetos, sendo o mais expressivo o desenvolvimento de uma plataforma digital para fazer a gestão de dados de todos os contratos, batizada de Sistema de Gestão de Gastos de Partilha de Produção (SGPP). O SGPP conta com dez módulos, e todos aqueles relacionados à gestão dos contratos de partilha de produção vêm sendo, desde julho de 2019, plenamente utilizados nos contratos de Libra, Uirapuru, Alto de Cabo Frio Central, Peroba, Dois Irmãos, Três Marias, Alto de Cabo Frio Oeste e Sul do Gato do Mato. </w:t>
      </w:r>
    </w:p>
    <w:p w14:paraId="1F386AE6" w14:textId="77777777" w:rsidR="00163B79" w:rsidRPr="00EE0CF5" w:rsidRDefault="00163B79" w:rsidP="00EE0CF5">
      <w:pPr>
        <w:pStyle w:val="Default"/>
        <w:jc w:val="both"/>
        <w:rPr>
          <w:sz w:val="22"/>
          <w:szCs w:val="22"/>
        </w:rPr>
      </w:pPr>
    </w:p>
    <w:p w14:paraId="3CF188A1" w14:textId="77777777" w:rsidR="00163B79" w:rsidRPr="00EE0CF5" w:rsidRDefault="00163B79" w:rsidP="00EE0CF5">
      <w:pPr>
        <w:pStyle w:val="Default"/>
        <w:jc w:val="both"/>
        <w:rPr>
          <w:sz w:val="22"/>
          <w:szCs w:val="22"/>
        </w:rPr>
      </w:pPr>
      <w:r w:rsidRPr="00EE0CF5">
        <w:rPr>
          <w:sz w:val="22"/>
          <w:szCs w:val="22"/>
        </w:rPr>
        <w:t xml:space="preserve">O sistema agilizou atividades de gestão do conteúdo local, da auditoria do custo em óleo, do reconhecimento e recuperação de custos nos contratos – funções essas realizadas continuamente nos contratos. A equipe técnica da empresa também passou a ter acesso, pelo sistema, ao monitoramento da produção total de óleo e gás de cada contrato e ao cálculo do excedente em óleo da União, indicador importante, uma vez que a companhia comercializará essa produção. </w:t>
      </w:r>
    </w:p>
    <w:p w14:paraId="154E9D9C" w14:textId="77777777" w:rsidR="00163B79" w:rsidRPr="00EE0CF5" w:rsidRDefault="00163B79" w:rsidP="00EE0CF5">
      <w:pPr>
        <w:pStyle w:val="Default"/>
        <w:jc w:val="both"/>
        <w:rPr>
          <w:sz w:val="22"/>
          <w:szCs w:val="22"/>
        </w:rPr>
      </w:pPr>
    </w:p>
    <w:p w14:paraId="38695C41" w14:textId="77777777" w:rsidR="00163B79" w:rsidRPr="00EE0CF5" w:rsidRDefault="00163B79" w:rsidP="00EE0CF5">
      <w:pPr>
        <w:pStyle w:val="Default"/>
        <w:jc w:val="both"/>
        <w:rPr>
          <w:sz w:val="22"/>
          <w:szCs w:val="22"/>
        </w:rPr>
      </w:pPr>
      <w:r w:rsidRPr="00EE0CF5">
        <w:rPr>
          <w:sz w:val="22"/>
          <w:szCs w:val="22"/>
        </w:rPr>
        <w:lastRenderedPageBreak/>
        <w:t xml:space="preserve">Com o SGPP, a empresa passou a ter o fluxo de trabalho automatizado, reduzindo erros e facilitando tomadas de decisão. Entre os principais benefícios registrados estão a governança dos processos, a eficiência operacional, a visibilidade integral da operação e a agilidade para o negócio. Além de auxiliar na gestão dos contratos de partilha de produção, o sistema é utilizado nas atividades de comercialização e no registro de todas as negociações realizadas com parceiros para o fechamento de Acordos de Individualização da Produção (AIP). </w:t>
      </w:r>
    </w:p>
    <w:p w14:paraId="04EC449C" w14:textId="77777777" w:rsidR="00163B79" w:rsidRPr="00EE0CF5" w:rsidRDefault="00163B79" w:rsidP="00EE0CF5">
      <w:pPr>
        <w:pStyle w:val="Default"/>
        <w:jc w:val="both"/>
        <w:rPr>
          <w:sz w:val="22"/>
          <w:szCs w:val="22"/>
        </w:rPr>
      </w:pPr>
    </w:p>
    <w:p w14:paraId="1EE83401" w14:textId="3D05070D" w:rsidR="00C8441B" w:rsidRPr="00EE0CF5" w:rsidRDefault="00163B79" w:rsidP="00EE0CF5">
      <w:pPr>
        <w:pStyle w:val="Default"/>
        <w:jc w:val="both"/>
        <w:rPr>
          <w:sz w:val="22"/>
          <w:szCs w:val="22"/>
        </w:rPr>
      </w:pPr>
      <w:r w:rsidRPr="00EE0CF5">
        <w:rPr>
          <w:sz w:val="22"/>
          <w:szCs w:val="22"/>
        </w:rPr>
        <w:t>A implantação do SGPP, um sistema moderno, escalável e capaz de ser ainda aprimorado com ferramentas de análise de relatórios e de inteligência artificial, é um primeiro exemplo das ações que a companhia vem tomando para a sua transformação digital. Ao longo de 2019, a empresa trabalhou também no desenvolvimento do Sistema de Gestão da Informação (SGI) e no desenvolvimento do Sistema de Gestão de Contratos (SGC), ambos desenvolvidos internamente.</w:t>
      </w:r>
    </w:p>
    <w:p w14:paraId="59F4F0E3" w14:textId="24CA16C6" w:rsidR="00163B79" w:rsidRDefault="00163B79" w:rsidP="000A21DF">
      <w:pPr>
        <w:pStyle w:val="Default"/>
        <w:jc w:val="both"/>
      </w:pPr>
    </w:p>
    <w:p w14:paraId="5045DA2F" w14:textId="77777777" w:rsidR="00163B79" w:rsidRDefault="00163B79" w:rsidP="000A21DF">
      <w:pPr>
        <w:pStyle w:val="Default"/>
        <w:ind w:left="-142"/>
        <w:jc w:val="both"/>
        <w:rPr>
          <w:rFonts w:asciiTheme="minorHAnsi" w:hAnsiTheme="minorHAnsi" w:cstheme="minorHAnsi"/>
          <w:b/>
          <w:bCs/>
          <w:color w:val="008192"/>
          <w:sz w:val="22"/>
          <w:szCs w:val="22"/>
        </w:rPr>
      </w:pPr>
    </w:p>
    <w:p w14:paraId="704E3A5C" w14:textId="40BC9D38" w:rsidR="00F34048" w:rsidRPr="00722DDC" w:rsidRDefault="00F34048"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 xml:space="preserve">Metas em relação ao desenvolvimento da atividade </w:t>
      </w:r>
    </w:p>
    <w:p w14:paraId="6C4DF86E" w14:textId="064083C2" w:rsidR="00F34048" w:rsidRPr="00722DDC" w:rsidRDefault="00F34048" w:rsidP="00722DDC">
      <w:pPr>
        <w:pStyle w:val="Default"/>
        <w:jc w:val="both"/>
        <w:rPr>
          <w:rFonts w:asciiTheme="minorHAnsi" w:hAnsiTheme="minorHAnsi" w:cstheme="minorHAnsi"/>
          <w:b/>
          <w:bCs/>
          <w:color w:val="008192"/>
          <w:sz w:val="22"/>
          <w:szCs w:val="22"/>
        </w:rPr>
      </w:pPr>
    </w:p>
    <w:p w14:paraId="6D91B722" w14:textId="72193DDD" w:rsidR="0026297F" w:rsidRPr="00722DDC" w:rsidRDefault="0026297F" w:rsidP="00722DDC">
      <w:pPr>
        <w:pStyle w:val="NormalWeb"/>
        <w:shd w:val="clear" w:color="auto" w:fill="FFFFFF"/>
        <w:spacing w:before="0" w:beforeAutospacing="0" w:after="300" w:afterAutospacing="0" w:line="330" w:lineRule="atLeast"/>
        <w:jc w:val="both"/>
        <w:rPr>
          <w:rFonts w:asciiTheme="minorHAnsi" w:hAnsiTheme="minorHAnsi" w:cstheme="minorHAnsi"/>
          <w:sz w:val="22"/>
          <w:szCs w:val="22"/>
        </w:rPr>
      </w:pPr>
      <w:r w:rsidRPr="00722DDC">
        <w:rPr>
          <w:rFonts w:asciiTheme="minorHAnsi" w:hAnsiTheme="minorHAnsi" w:cstheme="minorHAnsi"/>
          <w:sz w:val="22"/>
          <w:szCs w:val="22"/>
        </w:rPr>
        <w:t xml:space="preserve">As metas da administração pública federal para viabilizar a implementação e a gestão de políticas públicas são definidas no Plano Plurianual (PPA). As ações da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-Sal Petróleo estão vinculadas ao “Programa 0807 – Gestão e Manutenção das Empresas </w:t>
      </w:r>
      <w:r w:rsidR="009F51A1">
        <w:rPr>
          <w:rFonts w:asciiTheme="minorHAnsi" w:hAnsiTheme="minorHAnsi" w:cstheme="minorHAnsi"/>
          <w:sz w:val="22"/>
          <w:szCs w:val="22"/>
        </w:rPr>
        <w:t>E</w:t>
      </w:r>
      <w:r w:rsidRPr="00722DDC">
        <w:rPr>
          <w:rFonts w:asciiTheme="minorHAnsi" w:hAnsiTheme="minorHAnsi" w:cstheme="minorHAnsi"/>
          <w:sz w:val="22"/>
          <w:szCs w:val="22"/>
        </w:rPr>
        <w:t xml:space="preserve">statais Federais”. </w:t>
      </w:r>
    </w:p>
    <w:p w14:paraId="608FEF52" w14:textId="77777777" w:rsidR="0018170F" w:rsidRPr="00722DDC" w:rsidRDefault="0018170F" w:rsidP="00722DDC">
      <w:pPr>
        <w:pStyle w:val="Ttulo4"/>
        <w:shd w:val="clear" w:color="auto" w:fill="FFFFFF"/>
        <w:spacing w:before="0" w:after="60" w:line="405" w:lineRule="atLeast"/>
        <w:jc w:val="both"/>
        <w:rPr>
          <w:rFonts w:asciiTheme="minorHAnsi" w:hAnsiTheme="minorHAnsi" w:cstheme="minorHAnsi"/>
          <w:color w:val="000000" w:themeColor="text1"/>
        </w:rPr>
      </w:pPr>
      <w:r w:rsidRPr="00722DDC">
        <w:rPr>
          <w:rFonts w:asciiTheme="minorHAnsi" w:hAnsiTheme="minorHAnsi" w:cstheme="minorHAnsi"/>
          <w:i w:val="0"/>
          <w:iCs w:val="0"/>
          <w:color w:val="000000" w:themeColor="text1"/>
        </w:rPr>
        <w:t>O programa é composto por três ações</w:t>
      </w:r>
      <w:r w:rsidRPr="00722DDC">
        <w:rPr>
          <w:rFonts w:asciiTheme="minorHAnsi" w:hAnsiTheme="minorHAnsi" w:cstheme="minorHAnsi"/>
          <w:b/>
          <w:bCs/>
          <w:color w:val="000000" w:themeColor="text1"/>
        </w:rPr>
        <w:t>:</w:t>
      </w:r>
    </w:p>
    <w:p w14:paraId="0CDD0CF6" w14:textId="0E95D381" w:rsidR="0018170F" w:rsidRPr="00722DDC" w:rsidRDefault="0018170F" w:rsidP="00722DDC">
      <w:pPr>
        <w:numPr>
          <w:ilvl w:val="0"/>
          <w:numId w:val="23"/>
        </w:numPr>
        <w:shd w:val="clear" w:color="auto" w:fill="FFFFFF"/>
        <w:spacing w:before="100" w:beforeAutospacing="1" w:after="100" w:afterAutospacing="1" w:line="240" w:lineRule="auto"/>
        <w:ind w:left="375"/>
        <w:jc w:val="both"/>
        <w:rPr>
          <w:rFonts w:cstheme="minorHAnsi"/>
          <w:color w:val="000000" w:themeColor="text1"/>
        </w:rPr>
      </w:pPr>
      <w:r w:rsidRPr="00722DDC">
        <w:rPr>
          <w:rFonts w:cstheme="minorHAnsi"/>
          <w:color w:val="000000" w:themeColor="text1"/>
        </w:rPr>
        <w:t xml:space="preserve">Manutenção e </w:t>
      </w:r>
      <w:r w:rsidR="00AD3CB0">
        <w:rPr>
          <w:rFonts w:cstheme="minorHAnsi"/>
          <w:color w:val="000000" w:themeColor="text1"/>
        </w:rPr>
        <w:t>a</w:t>
      </w:r>
      <w:r w:rsidRPr="00722DDC">
        <w:rPr>
          <w:rFonts w:cstheme="minorHAnsi"/>
          <w:color w:val="000000" w:themeColor="text1"/>
        </w:rPr>
        <w:t xml:space="preserve">dequação de </w:t>
      </w:r>
      <w:r w:rsidR="00AD3CB0">
        <w:rPr>
          <w:rFonts w:cstheme="minorHAnsi"/>
          <w:color w:val="000000" w:themeColor="text1"/>
        </w:rPr>
        <w:t>b</w:t>
      </w:r>
      <w:r w:rsidRPr="00722DDC">
        <w:rPr>
          <w:rFonts w:cstheme="minorHAnsi"/>
          <w:color w:val="000000" w:themeColor="text1"/>
        </w:rPr>
        <w:t>ens imóveis;</w:t>
      </w:r>
    </w:p>
    <w:p w14:paraId="1746E9A0" w14:textId="5F41AF0B" w:rsidR="0018170F" w:rsidRPr="00722DDC" w:rsidRDefault="0018170F" w:rsidP="00722DDC">
      <w:pPr>
        <w:numPr>
          <w:ilvl w:val="0"/>
          <w:numId w:val="23"/>
        </w:numPr>
        <w:shd w:val="clear" w:color="auto" w:fill="FFFFFF"/>
        <w:spacing w:before="100" w:beforeAutospacing="1" w:after="100" w:afterAutospacing="1" w:line="240" w:lineRule="auto"/>
        <w:ind w:left="375"/>
        <w:jc w:val="both"/>
        <w:rPr>
          <w:rFonts w:cstheme="minorHAnsi"/>
          <w:color w:val="000000" w:themeColor="text1"/>
        </w:rPr>
      </w:pPr>
      <w:r w:rsidRPr="00722DDC">
        <w:rPr>
          <w:rFonts w:cstheme="minorHAnsi"/>
          <w:color w:val="000000" w:themeColor="text1"/>
        </w:rPr>
        <w:t xml:space="preserve">Manutenção e </w:t>
      </w:r>
      <w:r w:rsidR="00AD3CB0">
        <w:rPr>
          <w:rFonts w:cstheme="minorHAnsi"/>
          <w:color w:val="000000" w:themeColor="text1"/>
        </w:rPr>
        <w:t>a</w:t>
      </w:r>
      <w:r w:rsidRPr="00722DDC">
        <w:rPr>
          <w:rFonts w:cstheme="minorHAnsi"/>
          <w:color w:val="000000" w:themeColor="text1"/>
        </w:rPr>
        <w:t xml:space="preserve">dequação de </w:t>
      </w:r>
      <w:r w:rsidR="00AD3CB0">
        <w:rPr>
          <w:rFonts w:cstheme="minorHAnsi"/>
          <w:color w:val="000000" w:themeColor="text1"/>
        </w:rPr>
        <w:t>b</w:t>
      </w:r>
      <w:r w:rsidRPr="00722DDC">
        <w:rPr>
          <w:rFonts w:cstheme="minorHAnsi"/>
          <w:color w:val="000000" w:themeColor="text1"/>
        </w:rPr>
        <w:t xml:space="preserve">ens </w:t>
      </w:r>
      <w:r w:rsidR="00AD3CB0">
        <w:rPr>
          <w:rFonts w:cstheme="minorHAnsi"/>
          <w:color w:val="000000" w:themeColor="text1"/>
        </w:rPr>
        <w:t>m</w:t>
      </w:r>
      <w:r w:rsidRPr="00722DDC">
        <w:rPr>
          <w:rFonts w:cstheme="minorHAnsi"/>
          <w:color w:val="000000" w:themeColor="text1"/>
        </w:rPr>
        <w:t>óveis</w:t>
      </w:r>
      <w:r w:rsidR="00EE4D28" w:rsidRPr="00722DDC">
        <w:rPr>
          <w:rFonts w:cstheme="minorHAnsi"/>
          <w:color w:val="000000" w:themeColor="text1"/>
        </w:rPr>
        <w:t xml:space="preserve"> e</w:t>
      </w:r>
      <w:r w:rsidRPr="00722DDC">
        <w:rPr>
          <w:rFonts w:cstheme="minorHAnsi"/>
          <w:color w:val="000000" w:themeColor="text1"/>
        </w:rPr>
        <w:t xml:space="preserve"> </w:t>
      </w:r>
      <w:r w:rsidR="00AD3CB0">
        <w:rPr>
          <w:rFonts w:cstheme="minorHAnsi"/>
          <w:color w:val="000000" w:themeColor="text1"/>
        </w:rPr>
        <w:t>v</w:t>
      </w:r>
      <w:r w:rsidRPr="00722DDC">
        <w:rPr>
          <w:rFonts w:cstheme="minorHAnsi"/>
          <w:color w:val="000000" w:themeColor="text1"/>
        </w:rPr>
        <w:t xml:space="preserve">eículos, </w:t>
      </w:r>
      <w:r w:rsidR="00AD3CB0">
        <w:rPr>
          <w:rFonts w:cstheme="minorHAnsi"/>
          <w:color w:val="000000" w:themeColor="text1"/>
        </w:rPr>
        <w:t>m</w:t>
      </w:r>
      <w:r w:rsidRPr="00722DDC">
        <w:rPr>
          <w:rFonts w:cstheme="minorHAnsi"/>
          <w:color w:val="000000" w:themeColor="text1"/>
        </w:rPr>
        <w:t xml:space="preserve">áquinas e </w:t>
      </w:r>
      <w:r w:rsidR="00AD3CB0">
        <w:rPr>
          <w:rFonts w:cstheme="minorHAnsi"/>
          <w:color w:val="000000" w:themeColor="text1"/>
        </w:rPr>
        <w:t>e</w:t>
      </w:r>
      <w:r w:rsidRPr="00722DDC">
        <w:rPr>
          <w:rFonts w:cstheme="minorHAnsi"/>
          <w:color w:val="000000" w:themeColor="text1"/>
        </w:rPr>
        <w:t>quipamentos;</w:t>
      </w:r>
      <w:r w:rsidR="00AD3CB0">
        <w:rPr>
          <w:rFonts w:cstheme="minorHAnsi"/>
          <w:color w:val="000000" w:themeColor="text1"/>
        </w:rPr>
        <w:t xml:space="preserve"> e</w:t>
      </w:r>
    </w:p>
    <w:p w14:paraId="167D51B4" w14:textId="5F3465B6" w:rsidR="0018170F" w:rsidRPr="00722DDC" w:rsidRDefault="0018170F" w:rsidP="00722DDC">
      <w:pPr>
        <w:numPr>
          <w:ilvl w:val="0"/>
          <w:numId w:val="23"/>
        </w:numPr>
        <w:shd w:val="clear" w:color="auto" w:fill="FFFFFF"/>
        <w:spacing w:before="100" w:beforeAutospacing="1" w:after="100" w:afterAutospacing="1" w:line="240" w:lineRule="auto"/>
        <w:ind w:left="375"/>
        <w:jc w:val="both"/>
        <w:rPr>
          <w:rFonts w:cstheme="minorHAnsi"/>
          <w:color w:val="000000" w:themeColor="text1"/>
        </w:rPr>
      </w:pPr>
      <w:r w:rsidRPr="00722DDC">
        <w:rPr>
          <w:rFonts w:cstheme="minorHAnsi"/>
          <w:color w:val="000000" w:themeColor="text1"/>
        </w:rPr>
        <w:t xml:space="preserve">Manutenção e </w:t>
      </w:r>
      <w:r w:rsidR="00AD3CB0">
        <w:rPr>
          <w:rFonts w:cstheme="minorHAnsi"/>
          <w:color w:val="000000" w:themeColor="text1"/>
        </w:rPr>
        <w:t>a</w:t>
      </w:r>
      <w:r w:rsidRPr="00722DDC">
        <w:rPr>
          <w:rFonts w:cstheme="minorHAnsi"/>
          <w:color w:val="000000" w:themeColor="text1"/>
        </w:rPr>
        <w:t xml:space="preserve">dequação de </w:t>
      </w:r>
      <w:r w:rsidR="00AD3CB0">
        <w:rPr>
          <w:rFonts w:cstheme="minorHAnsi"/>
          <w:color w:val="000000" w:themeColor="text1"/>
        </w:rPr>
        <w:t>a</w:t>
      </w:r>
      <w:r w:rsidRPr="00722DDC">
        <w:rPr>
          <w:rFonts w:cstheme="minorHAnsi"/>
          <w:color w:val="000000" w:themeColor="text1"/>
        </w:rPr>
        <w:t xml:space="preserve">tivos de </w:t>
      </w:r>
      <w:r w:rsidR="00AD3CB0">
        <w:rPr>
          <w:rFonts w:cstheme="minorHAnsi"/>
          <w:color w:val="000000" w:themeColor="text1"/>
        </w:rPr>
        <w:t>i</w:t>
      </w:r>
      <w:r w:rsidRPr="00722DDC">
        <w:rPr>
          <w:rFonts w:cstheme="minorHAnsi"/>
          <w:color w:val="000000" w:themeColor="text1"/>
        </w:rPr>
        <w:t xml:space="preserve">nformática, </w:t>
      </w:r>
      <w:r w:rsidR="00AD3CB0">
        <w:rPr>
          <w:rFonts w:cstheme="minorHAnsi"/>
          <w:color w:val="000000" w:themeColor="text1"/>
        </w:rPr>
        <w:t>i</w:t>
      </w:r>
      <w:r w:rsidRPr="00722DDC">
        <w:rPr>
          <w:rFonts w:cstheme="minorHAnsi"/>
          <w:color w:val="000000" w:themeColor="text1"/>
        </w:rPr>
        <w:t xml:space="preserve">nformação e </w:t>
      </w:r>
      <w:r w:rsidR="00AD3CB0">
        <w:rPr>
          <w:rFonts w:cstheme="minorHAnsi"/>
          <w:color w:val="000000" w:themeColor="text1"/>
        </w:rPr>
        <w:t>t</w:t>
      </w:r>
      <w:r w:rsidRPr="00722DDC">
        <w:rPr>
          <w:rFonts w:cstheme="minorHAnsi"/>
          <w:color w:val="000000" w:themeColor="text1"/>
        </w:rPr>
        <w:t>eleprocessamento.</w:t>
      </w:r>
    </w:p>
    <w:p w14:paraId="60B4312B" w14:textId="782ED8E5" w:rsidR="0018170F" w:rsidRPr="00722DDC" w:rsidRDefault="0018170F" w:rsidP="00722DDC">
      <w:pPr>
        <w:pStyle w:val="padding-top10"/>
        <w:shd w:val="clear" w:color="auto" w:fill="FFFFFF"/>
        <w:spacing w:before="0" w:beforeAutospacing="0" w:after="300" w:afterAutospacing="0" w:line="330" w:lineRule="atLeast"/>
        <w:jc w:val="both"/>
        <w:rPr>
          <w:rFonts w:asciiTheme="minorHAnsi" w:hAnsiTheme="minorHAnsi" w:cstheme="minorHAnsi"/>
          <w:color w:val="000000" w:themeColor="text1"/>
          <w:sz w:val="22"/>
          <w:szCs w:val="22"/>
        </w:rPr>
      </w:pPr>
      <w:r w:rsidRPr="00722DDC">
        <w:rPr>
          <w:rFonts w:asciiTheme="minorHAnsi" w:hAnsiTheme="minorHAnsi" w:cstheme="minorHAnsi"/>
          <w:color w:val="000000" w:themeColor="text1"/>
          <w:sz w:val="22"/>
          <w:szCs w:val="22"/>
        </w:rPr>
        <w:t xml:space="preserve">Cabe salientar que as mencionadas ações não possuem meta física. O valor total </w:t>
      </w:r>
      <w:r w:rsidR="00AD3CB0">
        <w:rPr>
          <w:rFonts w:asciiTheme="minorHAnsi" w:hAnsiTheme="minorHAnsi" w:cstheme="minorHAnsi"/>
          <w:color w:val="000000" w:themeColor="text1"/>
          <w:sz w:val="22"/>
          <w:szCs w:val="22"/>
        </w:rPr>
        <w:t xml:space="preserve">destas </w:t>
      </w:r>
      <w:r w:rsidRPr="00722DDC">
        <w:rPr>
          <w:rFonts w:asciiTheme="minorHAnsi" w:hAnsiTheme="minorHAnsi" w:cstheme="minorHAnsi"/>
          <w:color w:val="000000" w:themeColor="text1"/>
          <w:sz w:val="22"/>
          <w:szCs w:val="22"/>
        </w:rPr>
        <w:t>reconcilia com o total dos dispêndios de capital contidos no PDG de cada exercício, conforme exigido pelo Manual Técnico de Orçamento do Ministério do Planejamento, Orçamento e Gestão.</w:t>
      </w:r>
    </w:p>
    <w:p w14:paraId="5482662C" w14:textId="380507E8" w:rsidR="0018170F" w:rsidRPr="00722DDC" w:rsidRDefault="0018170F" w:rsidP="00722DDC">
      <w:pPr>
        <w:pStyle w:val="NormalWeb"/>
        <w:shd w:val="clear" w:color="auto" w:fill="FFFFFF"/>
        <w:spacing w:before="0" w:beforeAutospacing="0" w:after="300" w:afterAutospacing="0" w:line="330" w:lineRule="atLeast"/>
        <w:jc w:val="both"/>
        <w:rPr>
          <w:rFonts w:asciiTheme="minorHAnsi" w:hAnsiTheme="minorHAnsi" w:cstheme="minorHAnsi"/>
          <w:color w:val="000000" w:themeColor="text1"/>
          <w:sz w:val="22"/>
          <w:szCs w:val="22"/>
        </w:rPr>
      </w:pPr>
      <w:r w:rsidRPr="00722DDC">
        <w:rPr>
          <w:rFonts w:asciiTheme="minorHAnsi" w:hAnsiTheme="minorHAnsi" w:cstheme="minorHAnsi"/>
          <w:color w:val="000000" w:themeColor="text1"/>
          <w:sz w:val="22"/>
          <w:szCs w:val="22"/>
        </w:rPr>
        <w:t xml:space="preserve">A gestão de todos os programas é realizada pela </w:t>
      </w:r>
      <w:r w:rsidR="009C262E">
        <w:rPr>
          <w:rFonts w:asciiTheme="minorHAnsi" w:hAnsiTheme="minorHAnsi" w:cstheme="minorHAnsi"/>
          <w:color w:val="000000" w:themeColor="text1"/>
          <w:sz w:val="22"/>
          <w:szCs w:val="22"/>
        </w:rPr>
        <w:t>g</w:t>
      </w:r>
      <w:r w:rsidRPr="00722DDC">
        <w:rPr>
          <w:rFonts w:asciiTheme="minorHAnsi" w:hAnsiTheme="minorHAnsi" w:cstheme="minorHAnsi"/>
          <w:color w:val="000000" w:themeColor="text1"/>
          <w:sz w:val="22"/>
          <w:szCs w:val="22"/>
        </w:rPr>
        <w:t xml:space="preserve">erência de Controle e Finanças, subordinada à </w:t>
      </w:r>
      <w:r w:rsidR="00AD3CB0">
        <w:rPr>
          <w:rFonts w:asciiTheme="minorHAnsi" w:hAnsiTheme="minorHAnsi" w:cstheme="minorHAnsi"/>
          <w:color w:val="000000" w:themeColor="text1"/>
          <w:sz w:val="22"/>
          <w:szCs w:val="22"/>
        </w:rPr>
        <w:t>D</w:t>
      </w:r>
      <w:r w:rsidRPr="00722DDC">
        <w:rPr>
          <w:rFonts w:asciiTheme="minorHAnsi" w:hAnsiTheme="minorHAnsi" w:cstheme="minorHAnsi"/>
          <w:color w:val="000000" w:themeColor="text1"/>
          <w:sz w:val="22"/>
          <w:szCs w:val="22"/>
        </w:rPr>
        <w:t>iretoria de Administração e Finanças.</w:t>
      </w:r>
      <w:r w:rsidR="00AD3CB0">
        <w:rPr>
          <w:rFonts w:asciiTheme="minorHAnsi" w:hAnsiTheme="minorHAnsi" w:cstheme="minorHAnsi"/>
          <w:color w:val="000000" w:themeColor="text1"/>
          <w:sz w:val="22"/>
          <w:szCs w:val="22"/>
        </w:rPr>
        <w:t xml:space="preserve"> </w:t>
      </w:r>
      <w:r w:rsidRPr="00722DDC">
        <w:rPr>
          <w:rFonts w:asciiTheme="minorHAnsi" w:hAnsiTheme="minorHAnsi" w:cstheme="minorHAnsi"/>
          <w:color w:val="000000" w:themeColor="text1"/>
          <w:sz w:val="22"/>
          <w:szCs w:val="22"/>
        </w:rPr>
        <w:t>Não temos programas que resultem na renúncia de receitas, assim como não contamos com programas financiados pelo Fundo de Amparo ao Trabalhador.</w:t>
      </w:r>
    </w:p>
    <w:p w14:paraId="5F946F07" w14:textId="340D108B" w:rsidR="00F34048" w:rsidRPr="00722DDC" w:rsidRDefault="005C4AE7" w:rsidP="00722DDC">
      <w:pPr>
        <w:pStyle w:val="Default"/>
        <w:jc w:val="both"/>
        <w:rPr>
          <w:rFonts w:asciiTheme="minorHAnsi" w:hAnsiTheme="minorHAnsi" w:cstheme="minorHAnsi"/>
          <w:color w:val="auto"/>
          <w:sz w:val="22"/>
          <w:szCs w:val="22"/>
        </w:rPr>
      </w:pPr>
      <w:r w:rsidRPr="00722DDC">
        <w:rPr>
          <w:rFonts w:asciiTheme="minorHAnsi" w:hAnsiTheme="minorHAnsi" w:cstheme="minorHAnsi"/>
          <w:color w:val="auto"/>
          <w:sz w:val="22"/>
          <w:szCs w:val="22"/>
        </w:rPr>
        <w:t>O quadro abaixo demonstra o orçamento de investimento da companhia</w:t>
      </w:r>
      <w:r w:rsidR="00AD3CB0">
        <w:rPr>
          <w:rFonts w:asciiTheme="minorHAnsi" w:hAnsiTheme="minorHAnsi" w:cstheme="minorHAnsi"/>
          <w:color w:val="auto"/>
          <w:sz w:val="22"/>
          <w:szCs w:val="22"/>
        </w:rPr>
        <w:t>:</w:t>
      </w:r>
      <w:r w:rsidRPr="00722DDC">
        <w:rPr>
          <w:rFonts w:asciiTheme="minorHAnsi" w:hAnsiTheme="minorHAnsi" w:cstheme="minorHAnsi"/>
          <w:color w:val="auto"/>
          <w:sz w:val="22"/>
          <w:szCs w:val="22"/>
        </w:rPr>
        <w:t xml:space="preserve"> </w:t>
      </w:r>
    </w:p>
    <w:p w14:paraId="376104A4" w14:textId="1FFBD5F5" w:rsidR="00E3577B" w:rsidRPr="00722DDC" w:rsidRDefault="00E3577B" w:rsidP="00722DDC">
      <w:pPr>
        <w:pStyle w:val="Default"/>
        <w:jc w:val="both"/>
        <w:rPr>
          <w:rFonts w:asciiTheme="minorHAnsi" w:hAnsiTheme="minorHAnsi" w:cstheme="minorHAnsi"/>
          <w:color w:val="auto"/>
          <w:sz w:val="22"/>
          <w:szCs w:val="22"/>
        </w:rPr>
      </w:pPr>
    </w:p>
    <w:p w14:paraId="741A5BA1" w14:textId="6CDA1DAF" w:rsidR="00F34048" w:rsidRPr="00722DDC" w:rsidRDefault="00C2126D" w:rsidP="00D64942">
      <w:pPr>
        <w:pStyle w:val="Default"/>
        <w:ind w:left="-709"/>
        <w:jc w:val="both"/>
        <w:rPr>
          <w:rFonts w:asciiTheme="minorHAnsi" w:hAnsiTheme="minorHAnsi" w:cstheme="minorHAnsi"/>
          <w:b/>
          <w:bCs/>
          <w:color w:val="008192"/>
          <w:sz w:val="22"/>
          <w:szCs w:val="22"/>
        </w:rPr>
      </w:pPr>
      <w:r w:rsidRPr="00722DDC">
        <w:rPr>
          <w:rFonts w:asciiTheme="minorHAnsi" w:hAnsiTheme="minorHAnsi" w:cstheme="minorHAnsi"/>
          <w:noProof/>
          <w:sz w:val="22"/>
          <w:szCs w:val="22"/>
          <w:lang w:eastAsia="pt-BR"/>
        </w:rPr>
        <w:drawing>
          <wp:inline distT="0" distB="0" distL="0" distR="0" wp14:anchorId="06B1A269" wp14:editId="6AEAAAE4">
            <wp:extent cx="6603309" cy="1571625"/>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53687" cy="1583615"/>
                    </a:xfrm>
                    <a:prstGeom prst="rect">
                      <a:avLst/>
                    </a:prstGeom>
                  </pic:spPr>
                </pic:pic>
              </a:graphicData>
            </a:graphic>
          </wp:inline>
        </w:drawing>
      </w:r>
    </w:p>
    <w:p w14:paraId="1EFEF983" w14:textId="77777777" w:rsidR="005C4AE7" w:rsidRPr="00722DDC" w:rsidRDefault="005C4AE7" w:rsidP="00722DDC">
      <w:pPr>
        <w:pStyle w:val="Default"/>
        <w:jc w:val="both"/>
        <w:rPr>
          <w:rFonts w:asciiTheme="minorHAnsi" w:hAnsiTheme="minorHAnsi" w:cstheme="minorHAnsi"/>
          <w:b/>
          <w:bCs/>
          <w:color w:val="008192"/>
          <w:sz w:val="22"/>
          <w:szCs w:val="22"/>
        </w:rPr>
      </w:pPr>
    </w:p>
    <w:p w14:paraId="01CB250F" w14:textId="35107B48" w:rsidR="00323524" w:rsidRPr="00722DDC" w:rsidRDefault="00E3577B"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Outro instrumento que regula o desenvolvimento da atividade é o Plano Estratégico da empresa. O </w:t>
      </w:r>
      <w:r w:rsidR="00AD3CB0">
        <w:rPr>
          <w:rFonts w:asciiTheme="minorHAnsi" w:hAnsiTheme="minorHAnsi" w:cstheme="minorHAnsi"/>
          <w:sz w:val="22"/>
          <w:szCs w:val="22"/>
        </w:rPr>
        <w:t>p</w:t>
      </w:r>
      <w:r w:rsidRPr="00722DDC">
        <w:rPr>
          <w:rFonts w:asciiTheme="minorHAnsi" w:hAnsiTheme="minorHAnsi" w:cstheme="minorHAnsi"/>
          <w:sz w:val="22"/>
          <w:szCs w:val="22"/>
        </w:rPr>
        <w:t xml:space="preserve">lanejamento do quinquênio 2019-2023 foi construído a partir das diretrizes estabelecidas na Lei </w:t>
      </w:r>
      <w:r w:rsidRPr="00722DDC">
        <w:rPr>
          <w:rFonts w:asciiTheme="minorHAnsi" w:hAnsiTheme="minorHAnsi" w:cstheme="minorHAnsi"/>
          <w:sz w:val="22"/>
          <w:szCs w:val="22"/>
        </w:rPr>
        <w:lastRenderedPageBreak/>
        <w:t>nº 12.304 e no Decreto nº 8.063</w:t>
      </w:r>
      <w:r w:rsidR="00AD3CB0">
        <w:rPr>
          <w:rFonts w:asciiTheme="minorHAnsi" w:hAnsiTheme="minorHAnsi" w:cstheme="minorHAnsi"/>
          <w:sz w:val="22"/>
          <w:szCs w:val="22"/>
        </w:rPr>
        <w:t>,</w:t>
      </w:r>
      <w:r w:rsidRPr="00722DDC">
        <w:rPr>
          <w:rFonts w:asciiTheme="minorHAnsi" w:hAnsiTheme="minorHAnsi" w:cstheme="minorHAnsi"/>
          <w:sz w:val="22"/>
          <w:szCs w:val="22"/>
        </w:rPr>
        <w:t xml:space="preserve"> e também adotou como referência </w:t>
      </w:r>
      <w:r w:rsidRPr="009C262E">
        <w:rPr>
          <w:rFonts w:asciiTheme="minorHAnsi" w:hAnsiTheme="minorHAnsi" w:cstheme="minorHAnsi"/>
          <w:sz w:val="22"/>
          <w:szCs w:val="22"/>
        </w:rPr>
        <w:t xml:space="preserve">os </w:t>
      </w:r>
      <w:r w:rsidR="00323524" w:rsidRPr="009C262E">
        <w:rPr>
          <w:rFonts w:asciiTheme="minorHAnsi" w:hAnsiTheme="minorHAnsi" w:cstheme="minorHAnsi"/>
          <w:sz w:val="22"/>
          <w:szCs w:val="22"/>
        </w:rPr>
        <w:t>c</w:t>
      </w:r>
      <w:r w:rsidRPr="009C262E">
        <w:rPr>
          <w:rFonts w:asciiTheme="minorHAnsi" w:hAnsiTheme="minorHAnsi" w:cstheme="minorHAnsi"/>
          <w:sz w:val="22"/>
          <w:szCs w:val="22"/>
        </w:rPr>
        <w:t xml:space="preserve">ontratos de </w:t>
      </w:r>
      <w:r w:rsidR="00323524" w:rsidRPr="009C262E">
        <w:rPr>
          <w:rFonts w:asciiTheme="minorHAnsi" w:hAnsiTheme="minorHAnsi" w:cstheme="minorHAnsi"/>
          <w:sz w:val="22"/>
          <w:szCs w:val="22"/>
        </w:rPr>
        <w:t>p</w:t>
      </w:r>
      <w:r w:rsidRPr="009C262E">
        <w:rPr>
          <w:rFonts w:asciiTheme="minorHAnsi" w:hAnsiTheme="minorHAnsi" w:cstheme="minorHAnsi"/>
          <w:sz w:val="22"/>
          <w:szCs w:val="22"/>
        </w:rPr>
        <w:t>artilha d</w:t>
      </w:r>
      <w:r w:rsidR="00323524" w:rsidRPr="00C00AE5">
        <w:rPr>
          <w:rFonts w:asciiTheme="minorHAnsi" w:hAnsiTheme="minorHAnsi" w:cstheme="minorHAnsi"/>
          <w:sz w:val="22"/>
          <w:szCs w:val="22"/>
        </w:rPr>
        <w:t>e produção</w:t>
      </w:r>
      <w:r w:rsidRPr="00C00AE5">
        <w:rPr>
          <w:rFonts w:asciiTheme="minorHAnsi" w:hAnsiTheme="minorHAnsi" w:cstheme="minorHAnsi"/>
          <w:sz w:val="22"/>
          <w:szCs w:val="22"/>
        </w:rPr>
        <w:t>.</w:t>
      </w:r>
    </w:p>
    <w:p w14:paraId="26A8BDC6" w14:textId="77777777" w:rsidR="00323524" w:rsidRPr="00722DDC" w:rsidRDefault="00323524" w:rsidP="00722DDC">
      <w:pPr>
        <w:pStyle w:val="Default"/>
        <w:jc w:val="both"/>
        <w:rPr>
          <w:rFonts w:asciiTheme="minorHAnsi" w:hAnsiTheme="minorHAnsi" w:cstheme="minorHAnsi"/>
          <w:sz w:val="22"/>
          <w:szCs w:val="22"/>
        </w:rPr>
      </w:pPr>
    </w:p>
    <w:p w14:paraId="73D49100" w14:textId="545659D0" w:rsidR="00D602AA" w:rsidRPr="00C00AE5" w:rsidRDefault="00D602AA" w:rsidP="00722DDC">
      <w:pPr>
        <w:spacing w:line="276" w:lineRule="auto"/>
        <w:jc w:val="both"/>
        <w:rPr>
          <w:rFonts w:cstheme="minorHAnsi"/>
          <w:color w:val="0D0D0D" w:themeColor="text1" w:themeTint="F2"/>
        </w:rPr>
      </w:pPr>
      <w:r w:rsidRPr="00722DDC">
        <w:rPr>
          <w:rFonts w:cstheme="minorHAnsi"/>
          <w:color w:val="0D0D0D" w:themeColor="text1" w:themeTint="F2"/>
        </w:rPr>
        <w:t xml:space="preserve">Os resultados </w:t>
      </w:r>
      <w:r w:rsidRPr="009C262E">
        <w:rPr>
          <w:rFonts w:cstheme="minorHAnsi"/>
          <w:color w:val="0D0D0D" w:themeColor="text1" w:themeTint="F2"/>
        </w:rPr>
        <w:t>alcançados no exercício foram obtidos a partir da realização de ações estabelecidas previamente em nosso Plan</w:t>
      </w:r>
      <w:r w:rsidR="009C262E" w:rsidRPr="009C262E">
        <w:rPr>
          <w:rFonts w:cstheme="minorHAnsi"/>
          <w:color w:val="0D0D0D" w:themeColor="text1" w:themeTint="F2"/>
        </w:rPr>
        <w:t>o</w:t>
      </w:r>
      <w:r w:rsidRPr="00C00AE5">
        <w:rPr>
          <w:rFonts w:cstheme="minorHAnsi"/>
          <w:color w:val="0D0D0D" w:themeColor="text1" w:themeTint="F2"/>
        </w:rPr>
        <w:t xml:space="preserve"> Estratégico</w:t>
      </w:r>
      <w:r w:rsidRPr="009C262E">
        <w:rPr>
          <w:rFonts w:cstheme="minorHAnsi"/>
          <w:color w:val="0D0D0D" w:themeColor="text1" w:themeTint="F2"/>
        </w:rPr>
        <w:t xml:space="preserve"> 19-23, que encerrou 2019 com um índice de rea</w:t>
      </w:r>
      <w:r w:rsidRPr="00C00AE5">
        <w:rPr>
          <w:rFonts w:cstheme="minorHAnsi"/>
          <w:color w:val="0D0D0D" w:themeColor="text1" w:themeTint="F2"/>
        </w:rPr>
        <w:t xml:space="preserve">lização de 95% com relação ao previsto. </w:t>
      </w:r>
      <w:r w:rsidRPr="00C00AE5">
        <w:rPr>
          <w:rFonts w:eastAsiaTheme="minorEastAsia" w:cstheme="minorHAnsi"/>
          <w:color w:val="0D0D0D" w:themeColor="text1" w:themeTint="F2"/>
          <w:kern w:val="24"/>
          <w:lang w:eastAsia="pt-BR"/>
        </w:rPr>
        <w:t xml:space="preserve">Das 21 iniciativas estratégicas listadas, </w:t>
      </w:r>
      <w:r w:rsidRPr="00C00AE5">
        <w:rPr>
          <w:rFonts w:cstheme="minorHAnsi"/>
          <w:color w:val="0D0D0D" w:themeColor="text1" w:themeTint="F2"/>
        </w:rPr>
        <w:t>12 foram concluídas</w:t>
      </w:r>
      <w:r w:rsidR="00AD3CB0" w:rsidRPr="00C00AE5">
        <w:rPr>
          <w:rFonts w:cstheme="minorHAnsi"/>
          <w:color w:val="0D0D0D" w:themeColor="text1" w:themeTint="F2"/>
        </w:rPr>
        <w:t>;</w:t>
      </w:r>
      <w:r w:rsidRPr="00C00AE5">
        <w:rPr>
          <w:rFonts w:cstheme="minorHAnsi"/>
          <w:color w:val="0D0D0D" w:themeColor="text1" w:themeTint="F2"/>
        </w:rPr>
        <w:t xml:space="preserve"> e nove</w:t>
      </w:r>
      <w:r w:rsidR="00AD3CB0" w:rsidRPr="00C00AE5">
        <w:rPr>
          <w:rFonts w:cstheme="minorHAnsi"/>
          <w:color w:val="0D0D0D" w:themeColor="text1" w:themeTint="F2"/>
        </w:rPr>
        <w:t>,</w:t>
      </w:r>
      <w:r w:rsidRPr="00C00AE5">
        <w:rPr>
          <w:rFonts w:cstheme="minorHAnsi"/>
          <w:color w:val="0D0D0D" w:themeColor="text1" w:themeTint="F2"/>
        </w:rPr>
        <w:t xml:space="preserve"> realizadas com sucesso, com continuidade prevista no Plano 20-24. </w:t>
      </w:r>
    </w:p>
    <w:p w14:paraId="3CCB9EE4" w14:textId="0FC0668B" w:rsidR="00D602AA" w:rsidRPr="009C262E" w:rsidRDefault="00D602AA" w:rsidP="00722DDC">
      <w:pPr>
        <w:spacing w:line="276" w:lineRule="auto"/>
        <w:jc w:val="both"/>
        <w:rPr>
          <w:rFonts w:cstheme="minorHAnsi"/>
          <w:color w:val="0D0D0D" w:themeColor="text1" w:themeTint="F2"/>
        </w:rPr>
      </w:pPr>
      <w:r w:rsidRPr="00C00AE5">
        <w:rPr>
          <w:rFonts w:cstheme="minorHAnsi"/>
          <w:color w:val="0D0D0D" w:themeColor="text1" w:themeTint="F2"/>
        </w:rPr>
        <w:t>Desafios mapeados no Plan</w:t>
      </w:r>
      <w:r w:rsidR="009C262E" w:rsidRPr="00C00AE5">
        <w:rPr>
          <w:rFonts w:cstheme="minorHAnsi"/>
          <w:color w:val="0D0D0D" w:themeColor="text1" w:themeTint="F2"/>
        </w:rPr>
        <w:t>o</w:t>
      </w:r>
      <w:r w:rsidRPr="009C262E">
        <w:rPr>
          <w:rFonts w:cstheme="minorHAnsi"/>
          <w:color w:val="0D0D0D" w:themeColor="text1" w:themeTint="F2"/>
        </w:rPr>
        <w:t xml:space="preserve"> Estratégico 19-23:</w:t>
      </w:r>
    </w:p>
    <w:p w14:paraId="6A9B6E43"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C00AE5">
        <w:rPr>
          <w:rFonts w:asciiTheme="minorHAnsi" w:hAnsiTheme="minorHAnsi" w:cstheme="minorHAnsi"/>
          <w:color w:val="0D0D0D" w:themeColor="text1" w:themeTint="F2"/>
        </w:rPr>
        <w:t>Quatro Sistemas de Produção Antecipada (SPA) em Libra</w:t>
      </w:r>
      <w:r w:rsidRPr="00722DDC">
        <w:rPr>
          <w:rFonts w:asciiTheme="minorHAnsi" w:hAnsiTheme="minorHAnsi" w:cstheme="minorHAnsi"/>
          <w:color w:val="0D0D0D" w:themeColor="text1" w:themeTint="F2"/>
        </w:rPr>
        <w:t>;</w:t>
      </w:r>
    </w:p>
    <w:p w14:paraId="67E1ED95" w14:textId="5007C359"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Programa exploratório das áreas central e sudeste de Libra; </w:t>
      </w:r>
    </w:p>
    <w:p w14:paraId="616466E3" w14:textId="58BF3875"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Projetos de Desenvolvimento da Produção: Mero 1, 2, 3 e 4; </w:t>
      </w:r>
    </w:p>
    <w:p w14:paraId="63CBF2AC"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Novos </w:t>
      </w:r>
      <w:r w:rsidRPr="009C262E">
        <w:rPr>
          <w:rFonts w:asciiTheme="minorHAnsi" w:hAnsiTheme="minorHAnsi" w:cstheme="minorHAnsi"/>
          <w:color w:val="0D0D0D" w:themeColor="text1" w:themeTint="F2"/>
        </w:rPr>
        <w:t>contratos de partilha de produção oriundos</w:t>
      </w:r>
      <w:r w:rsidRPr="00722DDC">
        <w:rPr>
          <w:rFonts w:asciiTheme="minorHAnsi" w:hAnsiTheme="minorHAnsi" w:cstheme="minorHAnsi"/>
          <w:color w:val="0D0D0D" w:themeColor="text1" w:themeTint="F2"/>
        </w:rPr>
        <w:t xml:space="preserve"> de licitações da 6ª, 7ª e 8ª Rodadas; </w:t>
      </w:r>
    </w:p>
    <w:p w14:paraId="22299304"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Execução dos planos de exploração dos </w:t>
      </w:r>
      <w:proofErr w:type="spellStart"/>
      <w:r w:rsidRPr="00722DDC">
        <w:rPr>
          <w:rFonts w:asciiTheme="minorHAnsi" w:hAnsiTheme="minorHAnsi" w:cstheme="minorHAnsi"/>
          <w:color w:val="0D0D0D" w:themeColor="text1" w:themeTint="F2"/>
        </w:rPr>
        <w:t>CPPs</w:t>
      </w:r>
      <w:proofErr w:type="spellEnd"/>
      <w:r w:rsidRPr="00722DDC">
        <w:rPr>
          <w:rFonts w:asciiTheme="minorHAnsi" w:hAnsiTheme="minorHAnsi" w:cstheme="minorHAnsi"/>
          <w:color w:val="0D0D0D" w:themeColor="text1" w:themeTint="F2"/>
        </w:rPr>
        <w:t>;</w:t>
      </w:r>
    </w:p>
    <w:p w14:paraId="2FF9D4D3"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Contratos de partilha das áreas do Excedente da Cessão Onerosa (ECO); </w:t>
      </w:r>
    </w:p>
    <w:p w14:paraId="1E666A5C"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Diferentes estratégias de comercialização de petróleo e gás da União;</w:t>
      </w:r>
    </w:p>
    <w:p w14:paraId="5A0B1EBE"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Identificação de solução para a logística da comercialização;</w:t>
      </w:r>
    </w:p>
    <w:p w14:paraId="77A73843"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Identificação de potenciais mercados compradores do óleo da União, no exterior;</w:t>
      </w:r>
    </w:p>
    <w:p w14:paraId="652648FD"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Definição de eventual estratégia para contratação de agente comercializador;</w:t>
      </w:r>
    </w:p>
    <w:p w14:paraId="08CB0C6C"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Projetos de individualização da produção em operação; </w:t>
      </w:r>
    </w:p>
    <w:p w14:paraId="70A83E08" w14:textId="77777777" w:rsidR="00D602AA" w:rsidRPr="00C00AE5"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D0D0D" w:themeColor="text1" w:themeTint="F2"/>
        </w:rPr>
        <w:t xml:space="preserve">Equalização de Gastos e Volumes (EGV) para </w:t>
      </w:r>
      <w:r w:rsidRPr="009C262E">
        <w:rPr>
          <w:rFonts w:asciiTheme="minorHAnsi" w:hAnsiTheme="minorHAnsi" w:cstheme="minorHAnsi"/>
          <w:color w:val="0D0D0D" w:themeColor="text1" w:themeTint="F2"/>
        </w:rPr>
        <w:t>os Acordos de Individualização da Produção (</w:t>
      </w:r>
      <w:proofErr w:type="spellStart"/>
      <w:r w:rsidRPr="009C262E">
        <w:rPr>
          <w:rFonts w:asciiTheme="minorHAnsi" w:hAnsiTheme="minorHAnsi" w:cstheme="minorHAnsi"/>
          <w:color w:val="0D0D0D" w:themeColor="text1" w:themeTint="F2"/>
        </w:rPr>
        <w:t>AIPs</w:t>
      </w:r>
      <w:proofErr w:type="spellEnd"/>
      <w:r w:rsidRPr="009C262E">
        <w:rPr>
          <w:rFonts w:asciiTheme="minorHAnsi" w:hAnsiTheme="minorHAnsi" w:cstheme="minorHAnsi"/>
          <w:color w:val="0D0D0D" w:themeColor="text1" w:themeTint="F2"/>
        </w:rPr>
        <w:t xml:space="preserve">); </w:t>
      </w:r>
    </w:p>
    <w:p w14:paraId="0160BEF5"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jc w:val="both"/>
        <w:rPr>
          <w:rFonts w:asciiTheme="minorHAnsi" w:eastAsiaTheme="minorEastAsia" w:hAnsiTheme="minorHAnsi" w:cstheme="minorHAnsi"/>
          <w:color w:val="000000" w:themeColor="text1"/>
        </w:rPr>
      </w:pPr>
      <w:proofErr w:type="spellStart"/>
      <w:r w:rsidRPr="00722DDC">
        <w:rPr>
          <w:rFonts w:asciiTheme="minorHAnsi" w:hAnsiTheme="minorHAnsi" w:cstheme="minorHAnsi"/>
          <w:color w:val="000000" w:themeColor="text1"/>
        </w:rPr>
        <w:t>Redeterminações</w:t>
      </w:r>
      <w:proofErr w:type="spellEnd"/>
      <w:r w:rsidRPr="00722DDC">
        <w:rPr>
          <w:rFonts w:asciiTheme="minorHAnsi" w:hAnsiTheme="minorHAnsi" w:cstheme="minorHAnsi"/>
          <w:color w:val="000000" w:themeColor="text1"/>
        </w:rPr>
        <w:t xml:space="preserve"> nos </w:t>
      </w:r>
      <w:proofErr w:type="spellStart"/>
      <w:r w:rsidRPr="00722DDC">
        <w:rPr>
          <w:rFonts w:asciiTheme="minorHAnsi" w:hAnsiTheme="minorHAnsi" w:cstheme="minorHAnsi"/>
          <w:color w:val="000000" w:themeColor="text1"/>
        </w:rPr>
        <w:t>AIPs</w:t>
      </w:r>
      <w:proofErr w:type="spellEnd"/>
      <w:r w:rsidRPr="00722DDC">
        <w:rPr>
          <w:rFonts w:asciiTheme="minorHAnsi" w:hAnsiTheme="minorHAnsi" w:cstheme="minorHAnsi"/>
          <w:color w:val="000000" w:themeColor="text1"/>
        </w:rPr>
        <w:t>; e</w:t>
      </w:r>
    </w:p>
    <w:p w14:paraId="778A6ED4" w14:textId="77777777" w:rsidR="00D602AA" w:rsidRPr="00722DDC" w:rsidRDefault="00D602AA" w:rsidP="00722DDC">
      <w:pPr>
        <w:pStyle w:val="PargrafodaLista"/>
        <w:widowControl/>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rFonts w:asciiTheme="minorHAnsi" w:eastAsiaTheme="minorEastAsia" w:hAnsiTheme="minorHAnsi" w:cstheme="minorHAnsi"/>
          <w:color w:val="0D0D0D" w:themeColor="text1" w:themeTint="F2"/>
        </w:rPr>
      </w:pPr>
      <w:r w:rsidRPr="00722DDC">
        <w:rPr>
          <w:rFonts w:asciiTheme="minorHAnsi" w:hAnsiTheme="minorHAnsi" w:cstheme="minorHAnsi"/>
          <w:color w:val="000000" w:themeColor="text1"/>
        </w:rPr>
        <w:t>Transformação digital da empresa</w:t>
      </w:r>
      <w:r w:rsidRPr="00722DDC">
        <w:rPr>
          <w:rFonts w:asciiTheme="minorHAnsi" w:hAnsiTheme="minorHAnsi" w:cstheme="minorHAnsi"/>
          <w:color w:val="0D0D0D" w:themeColor="text1" w:themeTint="F2"/>
        </w:rPr>
        <w:t>.</w:t>
      </w:r>
    </w:p>
    <w:p w14:paraId="60353184" w14:textId="77777777" w:rsidR="00BB442C" w:rsidRPr="00722DDC" w:rsidRDefault="00BB442C" w:rsidP="00722DDC">
      <w:pPr>
        <w:spacing w:line="276" w:lineRule="auto"/>
        <w:jc w:val="both"/>
        <w:rPr>
          <w:rFonts w:cstheme="minorHAnsi"/>
          <w:color w:val="0D0D0D" w:themeColor="text1" w:themeTint="F2"/>
        </w:rPr>
      </w:pPr>
      <w:r w:rsidRPr="00722DDC">
        <w:rPr>
          <w:rFonts w:cstheme="minorHAnsi"/>
          <w:color w:val="0D0D0D" w:themeColor="text1" w:themeTint="F2"/>
        </w:rPr>
        <w:t>O Plano Estratégico 2020-2024 foi elaborado no último trimestre de 2019 e contou com o envolvimento da alta liderança em todas as etapas de desenvolvimento. O plano foi aprovado pelo Conselho de Administração em dezembro e leva em conta o impacto previsto nas nossas atividades, nos próximos anos, em função do aumento esperado de produção nos contratos de partilha vigentes, bem como nos três que serão assinados ao longo de 2020. Considerou-se ainda a expectativa de novas rodadas para o quinquênio, como a de Volumes Excedentes da Cessão Onerosa, a 7ª e 8ª Rodadas de Licitação.</w:t>
      </w:r>
    </w:p>
    <w:p w14:paraId="73B98100" w14:textId="77777777" w:rsidR="00BB442C" w:rsidRPr="00722DDC" w:rsidRDefault="00BB442C" w:rsidP="00722DDC">
      <w:pPr>
        <w:shd w:val="clear" w:color="auto" w:fill="FFFFFF"/>
        <w:spacing w:after="30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lang w:eastAsia="pt-BR"/>
        </w:rPr>
        <w:t xml:space="preserve">O sucesso das próximas rodadas poderá resultar na gestão de até </w:t>
      </w:r>
      <w:r w:rsidRPr="009C262E">
        <w:rPr>
          <w:rFonts w:eastAsia="Times New Roman" w:cstheme="minorHAnsi"/>
          <w:color w:val="0D0D0D" w:themeColor="text1" w:themeTint="F2"/>
          <w:lang w:eastAsia="pt-BR"/>
        </w:rPr>
        <w:t>26 contratos de partilha de produção</w:t>
      </w:r>
      <w:r w:rsidRPr="00C00AE5">
        <w:rPr>
          <w:rFonts w:eastAsia="Times New Roman" w:cstheme="minorHAnsi"/>
          <w:color w:val="0D0D0D" w:themeColor="text1" w:themeTint="F2"/>
          <w:lang w:eastAsia="pt-BR"/>
        </w:rPr>
        <w:t xml:space="preserve"> até 2021, além de um cenário de aumento significativo na comercialização de petróleo e gás da União. O cenário levará, naturalmente, a novas ações de planejamento para a adequação da empresa e a iniciativas de transformação digital.</w:t>
      </w:r>
      <w:r w:rsidRPr="00722DDC">
        <w:rPr>
          <w:rFonts w:eastAsia="Times New Roman" w:cstheme="minorHAnsi"/>
          <w:color w:val="0D0D0D" w:themeColor="text1" w:themeTint="F2"/>
          <w:lang w:eastAsia="pt-BR"/>
        </w:rPr>
        <w:t xml:space="preserve"> </w:t>
      </w:r>
    </w:p>
    <w:p w14:paraId="48217597" w14:textId="1B9DAC74" w:rsidR="00323524" w:rsidRPr="00722DDC" w:rsidRDefault="00674977" w:rsidP="00722DDC">
      <w:pPr>
        <w:spacing w:line="276" w:lineRule="auto"/>
        <w:jc w:val="both"/>
        <w:rPr>
          <w:rFonts w:cstheme="minorHAnsi"/>
          <w:b/>
          <w:bCs/>
          <w:color w:val="0D0D0D" w:themeColor="text1" w:themeTint="F2"/>
        </w:rPr>
      </w:pPr>
      <w:r w:rsidRPr="00674977">
        <w:rPr>
          <w:noProof/>
        </w:rPr>
        <w:lastRenderedPageBreak/>
        <w:drawing>
          <wp:inline distT="0" distB="0" distL="0" distR="0" wp14:anchorId="0AEDA1CE" wp14:editId="7DB9B8F7">
            <wp:extent cx="6200122" cy="4381081"/>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636" cy="4397697"/>
                    </a:xfrm>
                    <a:prstGeom prst="rect">
                      <a:avLst/>
                    </a:prstGeom>
                  </pic:spPr>
                </pic:pic>
              </a:graphicData>
            </a:graphic>
          </wp:inline>
        </w:drawing>
      </w:r>
    </w:p>
    <w:p w14:paraId="6F267EC6" w14:textId="32DA59DB" w:rsidR="0055392E" w:rsidRPr="00722DDC" w:rsidRDefault="0055392E" w:rsidP="00722DDC">
      <w:pPr>
        <w:pStyle w:val="Default"/>
        <w:jc w:val="both"/>
        <w:rPr>
          <w:rFonts w:asciiTheme="minorHAnsi" w:hAnsiTheme="minorHAnsi" w:cstheme="minorHAnsi"/>
          <w:sz w:val="22"/>
          <w:szCs w:val="22"/>
        </w:rPr>
      </w:pPr>
    </w:p>
    <w:p w14:paraId="203AA123" w14:textId="3D5E9155" w:rsidR="00323524" w:rsidRPr="00722DDC" w:rsidRDefault="00D52A41"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Recursos para investimento e custeio</w:t>
      </w:r>
      <w:r w:rsidR="003A6AE9" w:rsidRPr="00722DDC">
        <w:rPr>
          <w:rFonts w:asciiTheme="minorHAnsi" w:hAnsiTheme="minorHAnsi" w:cstheme="minorHAnsi"/>
          <w:b/>
          <w:bCs/>
          <w:color w:val="008192"/>
          <w:sz w:val="22"/>
          <w:szCs w:val="22"/>
        </w:rPr>
        <w:t xml:space="preserve">  </w:t>
      </w:r>
    </w:p>
    <w:p w14:paraId="1FAF0889" w14:textId="77777777" w:rsidR="00D52A41" w:rsidRPr="00722DDC" w:rsidRDefault="00323524" w:rsidP="00722DDC">
      <w:pPr>
        <w:tabs>
          <w:tab w:val="left" w:pos="975"/>
        </w:tabs>
        <w:spacing w:line="276" w:lineRule="auto"/>
        <w:ind w:hanging="720"/>
        <w:jc w:val="both"/>
        <w:rPr>
          <w:rFonts w:cstheme="minorHAnsi"/>
        </w:rPr>
      </w:pPr>
      <w:r w:rsidRPr="00722DDC">
        <w:rPr>
          <w:rFonts w:cstheme="minorHAnsi"/>
        </w:rPr>
        <w:tab/>
      </w:r>
    </w:p>
    <w:p w14:paraId="689CE09C" w14:textId="77777777" w:rsidR="00250286" w:rsidRPr="00722DDC" w:rsidRDefault="00D52A41" w:rsidP="00722DDC">
      <w:pPr>
        <w:tabs>
          <w:tab w:val="left" w:pos="975"/>
        </w:tabs>
        <w:spacing w:line="276" w:lineRule="auto"/>
        <w:ind w:hanging="720"/>
        <w:jc w:val="both"/>
        <w:rPr>
          <w:rFonts w:cstheme="minorHAnsi"/>
        </w:rPr>
      </w:pPr>
      <w:r w:rsidRPr="00722DDC">
        <w:rPr>
          <w:rFonts w:cstheme="minorHAnsi"/>
        </w:rPr>
        <w:t xml:space="preserve">              </w:t>
      </w:r>
      <w:r w:rsidR="004B2862" w:rsidRPr="00722DDC">
        <w:rPr>
          <w:rFonts w:cstheme="minorHAnsi"/>
        </w:rPr>
        <w:t xml:space="preserve">Os recursos para custeio das atribuições legais da </w:t>
      </w:r>
      <w:proofErr w:type="spellStart"/>
      <w:r w:rsidR="004B2862" w:rsidRPr="00722DDC">
        <w:rPr>
          <w:rFonts w:cstheme="minorHAnsi"/>
        </w:rPr>
        <w:t>Pré</w:t>
      </w:r>
      <w:proofErr w:type="spellEnd"/>
      <w:r w:rsidR="004B2862" w:rsidRPr="00722DDC">
        <w:rPr>
          <w:rFonts w:cstheme="minorHAnsi"/>
        </w:rPr>
        <w:t xml:space="preserve">-Sal Petróleo advêm do Contrato de Remuneração com o Ministério de Minas e Energia (MME). O contrato prevê a contrapartida para remuneração dos serviços prestados à União na gestão dos </w:t>
      </w:r>
      <w:r w:rsidR="004B2862" w:rsidRPr="009C262E">
        <w:rPr>
          <w:rFonts w:cstheme="minorHAnsi"/>
        </w:rPr>
        <w:t>Contratos de Partilha de Produção, na representação da União nos procedimentos d</w:t>
      </w:r>
      <w:r w:rsidR="004B2862" w:rsidRPr="00C00AE5">
        <w:rPr>
          <w:rFonts w:cstheme="minorHAnsi"/>
        </w:rPr>
        <w:t>e individualização da produção de petróleo e gás</w:t>
      </w:r>
      <w:r w:rsidR="004B2862" w:rsidRPr="00722DDC">
        <w:rPr>
          <w:rFonts w:cstheme="minorHAnsi"/>
        </w:rPr>
        <w:t xml:space="preserve"> natural, e nos acordos deles decorrentes, e pela gestão dos contratos para a comercialização de petróleo, gás natural e outros hidrocarbonetos fluidos da União, conforme previstos em lei. </w:t>
      </w:r>
    </w:p>
    <w:p w14:paraId="5584EA11" w14:textId="0BC7B072" w:rsidR="004B2862" w:rsidRPr="00722DDC" w:rsidRDefault="00250286" w:rsidP="00722DDC">
      <w:pPr>
        <w:tabs>
          <w:tab w:val="left" w:pos="975"/>
        </w:tabs>
        <w:spacing w:line="276" w:lineRule="auto"/>
        <w:ind w:hanging="436"/>
        <w:jc w:val="both"/>
        <w:rPr>
          <w:rFonts w:cstheme="minorHAnsi"/>
        </w:rPr>
      </w:pPr>
      <w:r w:rsidRPr="00722DDC">
        <w:rPr>
          <w:rFonts w:cstheme="minorHAnsi"/>
        </w:rPr>
        <w:t xml:space="preserve">         </w:t>
      </w:r>
      <w:r w:rsidR="004B2862" w:rsidRPr="00722DDC">
        <w:rPr>
          <w:rFonts w:cstheme="minorHAnsi"/>
        </w:rPr>
        <w:t xml:space="preserve">A remuneração pela gestão e representação da União nos contratos é proporcional ao número de contratos, à dimensão dos blocos, à quantidade de módulos da etapa de desenvolvimento e à vazão de fluidos produzidos, de acordo com as fases e as etapas de cada um deles. Como condição para o pagamento, a </w:t>
      </w:r>
      <w:proofErr w:type="spellStart"/>
      <w:r w:rsidR="004B2862" w:rsidRPr="00722DDC">
        <w:rPr>
          <w:rFonts w:cstheme="minorHAnsi"/>
        </w:rPr>
        <w:t>Pré</w:t>
      </w:r>
      <w:proofErr w:type="spellEnd"/>
      <w:r w:rsidR="004B2862" w:rsidRPr="00722DDC">
        <w:rPr>
          <w:rFonts w:cstheme="minorHAnsi"/>
        </w:rPr>
        <w:t>-Sal Petróleo deve elaborar um Relatório Mensal de Remuneração com todas as informações sobre os contratos e as representações sob responsabilidade da empresa, além do valor a ser recebido. O Contrato de Remuneração foi assinado em 30 de novembro de 2015.</w:t>
      </w:r>
    </w:p>
    <w:p w14:paraId="714848B7" w14:textId="4D1FC8DA" w:rsidR="00323524" w:rsidRDefault="00664584" w:rsidP="00722DDC">
      <w:pPr>
        <w:spacing w:line="276" w:lineRule="auto"/>
        <w:ind w:hanging="720"/>
        <w:jc w:val="both"/>
        <w:rPr>
          <w:rFonts w:cstheme="minorHAnsi"/>
        </w:rPr>
      </w:pPr>
      <w:r w:rsidRPr="00722DDC">
        <w:rPr>
          <w:rFonts w:cstheme="minorHAnsi"/>
        </w:rPr>
        <w:t xml:space="preserve">               A empresa não recebe repasse de verbas de convênios públicos e não utiliza financiamentos privados para a execução de suas atividades.</w:t>
      </w:r>
    </w:p>
    <w:p w14:paraId="64E546C3" w14:textId="58F9DDF4" w:rsidR="001E49B5" w:rsidRDefault="001E49B5" w:rsidP="00722DDC">
      <w:pPr>
        <w:pStyle w:val="Default"/>
        <w:jc w:val="both"/>
        <w:rPr>
          <w:rFonts w:asciiTheme="minorHAnsi" w:hAnsiTheme="minorHAnsi" w:cstheme="minorHAnsi"/>
          <w:sz w:val="22"/>
          <w:szCs w:val="22"/>
          <w:highlight w:val="darkBlue"/>
        </w:rPr>
      </w:pPr>
    </w:p>
    <w:p w14:paraId="79B61ED8" w14:textId="4970A8DF" w:rsidR="003A6AE9" w:rsidRPr="009C262E" w:rsidRDefault="00C8441B" w:rsidP="00722DDC">
      <w:pPr>
        <w:pStyle w:val="Default"/>
        <w:jc w:val="both"/>
        <w:rPr>
          <w:rFonts w:asciiTheme="minorHAnsi" w:hAnsiTheme="minorHAnsi" w:cstheme="minorHAnsi"/>
          <w:b/>
          <w:bCs/>
          <w:color w:val="008192"/>
          <w:sz w:val="22"/>
          <w:szCs w:val="22"/>
        </w:rPr>
      </w:pPr>
      <w:r>
        <w:rPr>
          <w:rFonts w:asciiTheme="minorHAnsi" w:hAnsiTheme="minorHAnsi" w:cstheme="minorHAnsi"/>
          <w:b/>
          <w:bCs/>
          <w:color w:val="008192"/>
          <w:sz w:val="22"/>
          <w:szCs w:val="22"/>
        </w:rPr>
        <w:t xml:space="preserve">Informações </w:t>
      </w:r>
      <w:r w:rsidR="009C262E">
        <w:rPr>
          <w:rFonts w:asciiTheme="minorHAnsi" w:hAnsiTheme="minorHAnsi" w:cstheme="minorHAnsi"/>
          <w:b/>
          <w:bCs/>
          <w:color w:val="008192"/>
          <w:sz w:val="22"/>
          <w:szCs w:val="22"/>
        </w:rPr>
        <w:t>e</w:t>
      </w:r>
      <w:r w:rsidR="00323524" w:rsidRPr="009C262E">
        <w:rPr>
          <w:rFonts w:asciiTheme="minorHAnsi" w:hAnsiTheme="minorHAnsi" w:cstheme="minorHAnsi"/>
          <w:b/>
          <w:bCs/>
          <w:color w:val="008192"/>
          <w:sz w:val="22"/>
          <w:szCs w:val="22"/>
        </w:rPr>
        <w:t>conômico-</w:t>
      </w:r>
      <w:r w:rsidR="009C262E">
        <w:rPr>
          <w:rFonts w:asciiTheme="minorHAnsi" w:hAnsiTheme="minorHAnsi" w:cstheme="minorHAnsi"/>
          <w:b/>
          <w:bCs/>
          <w:color w:val="008192"/>
          <w:sz w:val="22"/>
          <w:szCs w:val="22"/>
        </w:rPr>
        <w:t>f</w:t>
      </w:r>
      <w:r w:rsidR="00323524" w:rsidRPr="009C262E">
        <w:rPr>
          <w:rFonts w:asciiTheme="minorHAnsi" w:hAnsiTheme="minorHAnsi" w:cstheme="minorHAnsi"/>
          <w:b/>
          <w:bCs/>
          <w:color w:val="008192"/>
          <w:sz w:val="22"/>
          <w:szCs w:val="22"/>
        </w:rPr>
        <w:t>inanceiras</w:t>
      </w:r>
      <w:r w:rsidR="003A6AE9" w:rsidRPr="009C262E">
        <w:rPr>
          <w:rFonts w:asciiTheme="minorHAnsi" w:hAnsiTheme="minorHAnsi" w:cstheme="minorHAnsi"/>
          <w:b/>
          <w:bCs/>
          <w:color w:val="008192"/>
          <w:sz w:val="22"/>
          <w:szCs w:val="22"/>
        </w:rPr>
        <w:t xml:space="preserve">      </w:t>
      </w:r>
    </w:p>
    <w:p w14:paraId="2D67CA3F" w14:textId="77777777" w:rsidR="00B07F9D" w:rsidRDefault="003A6AE9" w:rsidP="00C8441B">
      <w:pPr>
        <w:tabs>
          <w:tab w:val="left" w:pos="975"/>
        </w:tabs>
        <w:spacing w:line="276" w:lineRule="auto"/>
        <w:ind w:hanging="720"/>
        <w:jc w:val="both"/>
        <w:rPr>
          <w:rFonts w:cstheme="minorHAnsi"/>
        </w:rPr>
      </w:pPr>
      <w:r w:rsidRPr="00C00AE5">
        <w:rPr>
          <w:rFonts w:cstheme="minorHAnsi"/>
        </w:rPr>
        <w:tab/>
      </w:r>
    </w:p>
    <w:p w14:paraId="19AE4126" w14:textId="5B4E14B6" w:rsidR="00250286" w:rsidRPr="00722DDC" w:rsidRDefault="00B07F9D" w:rsidP="00C8441B">
      <w:pPr>
        <w:tabs>
          <w:tab w:val="left" w:pos="975"/>
        </w:tabs>
        <w:spacing w:line="276" w:lineRule="auto"/>
        <w:ind w:hanging="720"/>
        <w:jc w:val="both"/>
        <w:rPr>
          <w:rFonts w:cstheme="minorHAnsi"/>
        </w:rPr>
      </w:pPr>
      <w:r>
        <w:rPr>
          <w:rFonts w:cstheme="minorHAnsi"/>
        </w:rPr>
        <w:lastRenderedPageBreak/>
        <w:t xml:space="preserve">              </w:t>
      </w:r>
      <w:r w:rsidR="00250286" w:rsidRPr="00C00AE5">
        <w:rPr>
          <w:rFonts w:cstheme="minorHAnsi"/>
          <w:color w:val="008192"/>
        </w:rPr>
        <w:t xml:space="preserve">Das </w:t>
      </w:r>
      <w:r w:rsidR="009C262E">
        <w:rPr>
          <w:rFonts w:cstheme="minorHAnsi"/>
          <w:color w:val="008192"/>
        </w:rPr>
        <w:t>o</w:t>
      </w:r>
      <w:r w:rsidR="00250286" w:rsidRPr="009C262E">
        <w:rPr>
          <w:rFonts w:cstheme="minorHAnsi"/>
          <w:color w:val="008192"/>
        </w:rPr>
        <w:t xml:space="preserve">perações da </w:t>
      </w:r>
      <w:r w:rsidR="009C262E">
        <w:rPr>
          <w:rFonts w:cstheme="minorHAnsi"/>
          <w:color w:val="008192"/>
        </w:rPr>
        <w:t>c</w:t>
      </w:r>
      <w:r w:rsidR="00250286" w:rsidRPr="009C262E">
        <w:rPr>
          <w:rFonts w:cstheme="minorHAnsi"/>
          <w:color w:val="008192"/>
        </w:rPr>
        <w:t>ompanhia</w:t>
      </w:r>
      <w:r w:rsidR="00250286" w:rsidRPr="00722DDC">
        <w:rPr>
          <w:rFonts w:cstheme="minorHAnsi"/>
        </w:rPr>
        <w:t xml:space="preserve"> </w:t>
      </w:r>
    </w:p>
    <w:p w14:paraId="5BE1E156" w14:textId="0B5FC20B" w:rsidR="00250286" w:rsidRPr="00722DDC" w:rsidRDefault="00250286"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Em 2019, a receita bruta de serviços pela gestão de contratos e representação da União totalizou R$ 54,21 milhões, tendo a empresa, adicionalmente, faturado</w:t>
      </w:r>
      <w:r w:rsidR="008E3136">
        <w:rPr>
          <w:rFonts w:asciiTheme="minorHAnsi" w:hAnsiTheme="minorHAnsi" w:cstheme="minorHAnsi"/>
          <w:sz w:val="22"/>
          <w:szCs w:val="22"/>
        </w:rPr>
        <w:t>,</w:t>
      </w:r>
      <w:r w:rsidRPr="00722DDC">
        <w:rPr>
          <w:rFonts w:asciiTheme="minorHAnsi" w:hAnsiTheme="minorHAnsi" w:cstheme="minorHAnsi"/>
          <w:sz w:val="22"/>
          <w:szCs w:val="22"/>
        </w:rPr>
        <w:t xml:space="preserve"> </w:t>
      </w:r>
      <w:r w:rsidR="00B206C1">
        <w:rPr>
          <w:rFonts w:asciiTheme="minorHAnsi" w:hAnsiTheme="minorHAnsi" w:cstheme="minorHAnsi"/>
          <w:sz w:val="22"/>
          <w:szCs w:val="22"/>
        </w:rPr>
        <w:t xml:space="preserve">de forma </w:t>
      </w:r>
      <w:r w:rsidRPr="00722DDC">
        <w:rPr>
          <w:rFonts w:asciiTheme="minorHAnsi" w:hAnsiTheme="minorHAnsi" w:cstheme="minorHAnsi"/>
          <w:sz w:val="22"/>
          <w:szCs w:val="22"/>
        </w:rPr>
        <w:t>integral</w:t>
      </w:r>
      <w:r w:rsidR="008E3136">
        <w:rPr>
          <w:rFonts w:asciiTheme="minorHAnsi" w:hAnsiTheme="minorHAnsi" w:cstheme="minorHAnsi"/>
          <w:sz w:val="22"/>
          <w:szCs w:val="22"/>
        </w:rPr>
        <w:t>,</w:t>
      </w:r>
      <w:r w:rsidRPr="00722DDC">
        <w:rPr>
          <w:rFonts w:asciiTheme="minorHAnsi" w:hAnsiTheme="minorHAnsi" w:cstheme="minorHAnsi"/>
          <w:sz w:val="22"/>
          <w:szCs w:val="22"/>
        </w:rPr>
        <w:t xml:space="preserve"> a parcela dos bônus de assinatura relativa aos contratos assinados na 4ª e</w:t>
      </w:r>
      <w:r w:rsidR="008E3136">
        <w:rPr>
          <w:rFonts w:asciiTheme="minorHAnsi" w:hAnsiTheme="minorHAnsi" w:cstheme="minorHAnsi"/>
          <w:sz w:val="22"/>
          <w:szCs w:val="22"/>
        </w:rPr>
        <w:t>,</w:t>
      </w:r>
      <w:r w:rsidRPr="00722DDC">
        <w:rPr>
          <w:rFonts w:asciiTheme="minorHAnsi" w:hAnsiTheme="minorHAnsi" w:cstheme="minorHAnsi"/>
          <w:sz w:val="22"/>
          <w:szCs w:val="22"/>
        </w:rPr>
        <w:t xml:space="preserve"> parcialmente</w:t>
      </w:r>
      <w:r w:rsidR="008E3136">
        <w:rPr>
          <w:rFonts w:asciiTheme="minorHAnsi" w:hAnsiTheme="minorHAnsi" w:cstheme="minorHAnsi"/>
          <w:sz w:val="22"/>
          <w:szCs w:val="22"/>
        </w:rPr>
        <w:t>,</w:t>
      </w:r>
      <w:r w:rsidRPr="00722DDC">
        <w:rPr>
          <w:rFonts w:asciiTheme="minorHAnsi" w:hAnsiTheme="minorHAnsi" w:cstheme="minorHAnsi"/>
          <w:sz w:val="22"/>
          <w:szCs w:val="22"/>
        </w:rPr>
        <w:t xml:space="preserve"> na 5ª Rodadas de Partilha de Produção, realizadas em 2018, no total de R$ 58,95 milhões, somando um faturamento anual bruto de R$ 113,16 milhões.</w:t>
      </w:r>
    </w:p>
    <w:p w14:paraId="0FB9DD98" w14:textId="77777777" w:rsidR="00250286" w:rsidRPr="00722DDC" w:rsidRDefault="00250286" w:rsidP="00722DDC">
      <w:pPr>
        <w:pStyle w:val="Default"/>
        <w:jc w:val="both"/>
        <w:rPr>
          <w:rFonts w:asciiTheme="minorHAnsi" w:hAnsiTheme="minorHAnsi" w:cstheme="minorHAnsi"/>
          <w:sz w:val="22"/>
          <w:szCs w:val="22"/>
        </w:rPr>
      </w:pPr>
    </w:p>
    <w:p w14:paraId="3EAFBA5B" w14:textId="018E65B0" w:rsidR="0055392E" w:rsidRPr="00722DDC" w:rsidRDefault="00250286" w:rsidP="00722DDC">
      <w:pPr>
        <w:pStyle w:val="Default"/>
        <w:jc w:val="both"/>
        <w:rPr>
          <w:rFonts w:asciiTheme="minorHAnsi" w:hAnsiTheme="minorHAnsi" w:cstheme="minorHAnsi"/>
          <w:color w:val="008192"/>
          <w:sz w:val="22"/>
          <w:szCs w:val="22"/>
        </w:rPr>
      </w:pPr>
      <w:r w:rsidRPr="00722DDC">
        <w:rPr>
          <w:rFonts w:asciiTheme="minorHAnsi" w:hAnsiTheme="minorHAnsi" w:cstheme="minorHAnsi"/>
          <w:sz w:val="22"/>
          <w:szCs w:val="22"/>
        </w:rPr>
        <w:t xml:space="preserve">A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-Sal Petróleo acumulou R$ 4,3 milhões em receitas financeiras e recebeu aporte de capital de R$ 3,6 milhões. A companhia apurou lucro antes do Imposto de Renda (IR) e Contribuição Social sobre o Lucro Líquido (CSLL) de R$ 53,56 milhões, registrando provisão para IR e CSLL de R$ 18,7 milhões e um lucro líquido no exercício de R$ 34,86 milhões. A </w:t>
      </w:r>
      <w:r w:rsidR="00B206C1">
        <w:rPr>
          <w:rFonts w:asciiTheme="minorHAnsi" w:hAnsiTheme="minorHAnsi" w:cstheme="minorHAnsi"/>
          <w:sz w:val="22"/>
          <w:szCs w:val="22"/>
        </w:rPr>
        <w:t>PPSA</w:t>
      </w:r>
      <w:r w:rsidRPr="00722DDC">
        <w:rPr>
          <w:rFonts w:asciiTheme="minorHAnsi" w:hAnsiTheme="minorHAnsi" w:cstheme="minorHAnsi"/>
          <w:sz w:val="22"/>
          <w:szCs w:val="22"/>
        </w:rPr>
        <w:t xml:space="preserve"> seguiu mantendo uma estrutura enxuta de custos e rigor na gestão dos recursos financeiros, atingindo</w:t>
      </w:r>
      <w:r w:rsidR="008E3136">
        <w:rPr>
          <w:rFonts w:asciiTheme="minorHAnsi" w:hAnsiTheme="minorHAnsi" w:cstheme="minorHAnsi"/>
          <w:sz w:val="22"/>
          <w:szCs w:val="22"/>
        </w:rPr>
        <w:t>,</w:t>
      </w:r>
      <w:r w:rsidRPr="00722DDC">
        <w:rPr>
          <w:rFonts w:asciiTheme="minorHAnsi" w:hAnsiTheme="minorHAnsi" w:cstheme="minorHAnsi"/>
          <w:sz w:val="22"/>
          <w:szCs w:val="22"/>
        </w:rPr>
        <w:t xml:space="preserve"> assim</w:t>
      </w:r>
      <w:r w:rsidR="008E3136">
        <w:rPr>
          <w:rFonts w:asciiTheme="minorHAnsi" w:hAnsiTheme="minorHAnsi" w:cstheme="minorHAnsi"/>
          <w:sz w:val="22"/>
          <w:szCs w:val="22"/>
        </w:rPr>
        <w:t>,</w:t>
      </w:r>
      <w:r w:rsidRPr="00722DDC">
        <w:rPr>
          <w:rFonts w:asciiTheme="minorHAnsi" w:hAnsiTheme="minorHAnsi" w:cstheme="minorHAnsi"/>
          <w:sz w:val="22"/>
          <w:szCs w:val="22"/>
        </w:rPr>
        <w:t xml:space="preserve"> a marca de cinco anos consecutivos gerando lucros e contribuindo positivamente para o equilíbrio das contas públicas.</w:t>
      </w:r>
    </w:p>
    <w:p w14:paraId="1B0E8FEA" w14:textId="5EAA6777" w:rsidR="0055392E" w:rsidRPr="00722DDC" w:rsidRDefault="0055392E" w:rsidP="00722DDC">
      <w:pPr>
        <w:pStyle w:val="Default"/>
        <w:jc w:val="both"/>
        <w:rPr>
          <w:rFonts w:asciiTheme="minorHAnsi" w:hAnsiTheme="minorHAnsi" w:cstheme="minorHAnsi"/>
          <w:color w:val="008192"/>
          <w:sz w:val="22"/>
          <w:szCs w:val="22"/>
        </w:rPr>
      </w:pPr>
    </w:p>
    <w:p w14:paraId="4A5034AB" w14:textId="5D63F360" w:rsidR="00250286" w:rsidRPr="00722DDC" w:rsidRDefault="00250286" w:rsidP="00722DDC">
      <w:pPr>
        <w:pStyle w:val="Default"/>
        <w:jc w:val="both"/>
        <w:rPr>
          <w:rFonts w:asciiTheme="minorHAnsi" w:hAnsiTheme="minorHAnsi" w:cstheme="minorHAnsi"/>
          <w:color w:val="008192"/>
          <w:sz w:val="22"/>
          <w:szCs w:val="22"/>
        </w:rPr>
      </w:pPr>
      <w:r w:rsidRPr="00722DDC">
        <w:rPr>
          <w:rFonts w:asciiTheme="minorHAnsi" w:hAnsiTheme="minorHAnsi" w:cstheme="minorHAnsi"/>
          <w:noProof/>
          <w:sz w:val="22"/>
          <w:szCs w:val="22"/>
          <w:lang w:eastAsia="pt-BR"/>
        </w:rPr>
        <w:drawing>
          <wp:inline distT="0" distB="0" distL="0" distR="0" wp14:anchorId="5E7C95EC" wp14:editId="7DFDD81B">
            <wp:extent cx="3868615" cy="2623930"/>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0825" cy="2700037"/>
                    </a:xfrm>
                    <a:prstGeom prst="rect">
                      <a:avLst/>
                    </a:prstGeom>
                  </pic:spPr>
                </pic:pic>
              </a:graphicData>
            </a:graphic>
          </wp:inline>
        </w:drawing>
      </w:r>
    </w:p>
    <w:p w14:paraId="32819462" w14:textId="77777777" w:rsidR="00250286" w:rsidRPr="00722DDC" w:rsidRDefault="00250286" w:rsidP="00722DDC">
      <w:pPr>
        <w:pStyle w:val="Default"/>
        <w:jc w:val="both"/>
        <w:rPr>
          <w:rFonts w:asciiTheme="minorHAnsi" w:hAnsiTheme="minorHAnsi" w:cstheme="minorHAnsi"/>
          <w:color w:val="008192"/>
          <w:sz w:val="22"/>
          <w:szCs w:val="22"/>
        </w:rPr>
      </w:pPr>
    </w:p>
    <w:p w14:paraId="6C9B2D96" w14:textId="77777777" w:rsidR="00250286" w:rsidRPr="00722DDC" w:rsidRDefault="00250286" w:rsidP="00722DDC">
      <w:pPr>
        <w:pStyle w:val="Default"/>
        <w:jc w:val="both"/>
        <w:rPr>
          <w:rFonts w:asciiTheme="minorHAnsi" w:hAnsiTheme="minorHAnsi" w:cstheme="minorHAnsi"/>
          <w:color w:val="008192"/>
          <w:sz w:val="22"/>
          <w:szCs w:val="22"/>
        </w:rPr>
      </w:pPr>
    </w:p>
    <w:p w14:paraId="3D197860" w14:textId="474A7418" w:rsidR="00250286" w:rsidRPr="00722DDC" w:rsidRDefault="006F6F42" w:rsidP="00722DDC">
      <w:pPr>
        <w:pStyle w:val="Default"/>
        <w:jc w:val="both"/>
        <w:rPr>
          <w:rFonts w:asciiTheme="minorHAnsi" w:hAnsiTheme="minorHAnsi" w:cstheme="minorHAnsi"/>
          <w:color w:val="008192"/>
          <w:sz w:val="22"/>
          <w:szCs w:val="22"/>
        </w:rPr>
      </w:pPr>
      <w:r w:rsidRPr="009C262E">
        <w:rPr>
          <w:rFonts w:asciiTheme="minorHAnsi" w:hAnsiTheme="minorHAnsi" w:cstheme="minorHAnsi"/>
          <w:color w:val="008192"/>
          <w:sz w:val="22"/>
          <w:szCs w:val="22"/>
        </w:rPr>
        <w:t xml:space="preserve">Da </w:t>
      </w:r>
      <w:r w:rsidR="009C262E" w:rsidRPr="009C262E">
        <w:rPr>
          <w:rFonts w:asciiTheme="minorHAnsi" w:hAnsiTheme="minorHAnsi" w:cstheme="minorHAnsi"/>
          <w:color w:val="008192"/>
          <w:sz w:val="22"/>
          <w:szCs w:val="22"/>
        </w:rPr>
        <w:t>r</w:t>
      </w:r>
      <w:r w:rsidRPr="00C00AE5">
        <w:rPr>
          <w:rFonts w:asciiTheme="minorHAnsi" w:hAnsiTheme="minorHAnsi" w:cstheme="minorHAnsi"/>
          <w:color w:val="008192"/>
          <w:sz w:val="22"/>
          <w:szCs w:val="22"/>
        </w:rPr>
        <w:t xml:space="preserve">ealização da </w:t>
      </w:r>
      <w:r w:rsidR="009C262E" w:rsidRPr="00C00AE5">
        <w:rPr>
          <w:rFonts w:asciiTheme="minorHAnsi" w:hAnsiTheme="minorHAnsi" w:cstheme="minorHAnsi"/>
          <w:color w:val="008192"/>
          <w:sz w:val="22"/>
          <w:szCs w:val="22"/>
        </w:rPr>
        <w:t>c</w:t>
      </w:r>
      <w:r w:rsidRPr="00C00AE5">
        <w:rPr>
          <w:rFonts w:asciiTheme="minorHAnsi" w:hAnsiTheme="minorHAnsi" w:cstheme="minorHAnsi"/>
          <w:color w:val="008192"/>
          <w:sz w:val="22"/>
          <w:szCs w:val="22"/>
        </w:rPr>
        <w:t>ompanhia</w:t>
      </w:r>
    </w:p>
    <w:p w14:paraId="329497B2" w14:textId="098C63FB" w:rsidR="006F6F42" w:rsidRPr="00722DDC" w:rsidRDefault="006F6F42" w:rsidP="00722DDC">
      <w:pPr>
        <w:pStyle w:val="Default"/>
        <w:jc w:val="both"/>
        <w:rPr>
          <w:rFonts w:asciiTheme="minorHAnsi" w:hAnsiTheme="minorHAnsi" w:cstheme="minorHAnsi"/>
          <w:color w:val="008192"/>
          <w:sz w:val="22"/>
          <w:szCs w:val="22"/>
        </w:rPr>
      </w:pPr>
    </w:p>
    <w:p w14:paraId="32CA57BC" w14:textId="77777777" w:rsidR="006F6F42" w:rsidRPr="00722DDC" w:rsidRDefault="006F6F42"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Do Programa de Dispêndios Globais de 2019, aprovado pelo Decreto nº 9.611 de 14/12/2018, foram realizadas 61% das fontes de recursos planejadas, perfazendo R$ 113,17 milhões. Desse total, 93% são receitas operacionais; 3%, aportes de capital do controlador; e 4%, receitas não operacionais.</w:t>
      </w:r>
    </w:p>
    <w:p w14:paraId="396CEA9D" w14:textId="77777777" w:rsidR="006F6F42" w:rsidRPr="00722DDC" w:rsidRDefault="006F6F42" w:rsidP="00722DDC">
      <w:pPr>
        <w:pStyle w:val="Default"/>
        <w:jc w:val="both"/>
        <w:rPr>
          <w:rFonts w:asciiTheme="minorHAnsi" w:hAnsiTheme="minorHAnsi" w:cstheme="minorHAnsi"/>
          <w:sz w:val="22"/>
          <w:szCs w:val="22"/>
        </w:rPr>
      </w:pPr>
    </w:p>
    <w:p w14:paraId="69E43F44" w14:textId="74655FF1" w:rsidR="006F6F42" w:rsidRPr="00722DDC" w:rsidRDefault="006F6F42"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Pelo lado dos usos de recursos, foram realizados 60% dos usos de recursos planejados, perfazendo R$ 94,55 milhões. Desse total, 37% correspondem a tributos e encargos </w:t>
      </w:r>
      <w:proofErr w:type="spellStart"/>
      <w:r w:rsidRPr="00722DDC">
        <w:rPr>
          <w:rFonts w:asciiTheme="minorHAnsi" w:hAnsiTheme="minorHAnsi" w:cstheme="minorHAnsi"/>
          <w:sz w:val="22"/>
          <w:szCs w:val="22"/>
        </w:rPr>
        <w:t>para</w:t>
      </w:r>
      <w:r w:rsidR="008E3136">
        <w:rPr>
          <w:rFonts w:asciiTheme="minorHAnsi" w:hAnsiTheme="minorHAnsi" w:cstheme="minorHAnsi"/>
          <w:sz w:val="22"/>
          <w:szCs w:val="22"/>
        </w:rPr>
        <w:t>-</w:t>
      </w:r>
      <w:r w:rsidRPr="00722DDC">
        <w:rPr>
          <w:rFonts w:asciiTheme="minorHAnsi" w:hAnsiTheme="minorHAnsi" w:cstheme="minorHAnsi"/>
          <w:sz w:val="22"/>
          <w:szCs w:val="22"/>
        </w:rPr>
        <w:t>fiscais</w:t>
      </w:r>
      <w:proofErr w:type="spellEnd"/>
      <w:r w:rsidRPr="00722DDC">
        <w:rPr>
          <w:rFonts w:asciiTheme="minorHAnsi" w:hAnsiTheme="minorHAnsi" w:cstheme="minorHAnsi"/>
          <w:sz w:val="22"/>
          <w:szCs w:val="22"/>
        </w:rPr>
        <w:t>; 33%, a despesas com pessoal e encargos sociais; 17% são correlatos a dispêndios de capital; e 10%, a despesas com serviços de terceiros. Outros 3% respondem pelas rubricas de outros dispêndios correntes, utilidades e serviços, e materiais e produtos</w:t>
      </w:r>
    </w:p>
    <w:p w14:paraId="1B3F7C0B" w14:textId="651FEC5F" w:rsidR="006F6F42" w:rsidRPr="00722DDC" w:rsidRDefault="006F6F42" w:rsidP="00722DDC">
      <w:pPr>
        <w:pStyle w:val="Default"/>
        <w:jc w:val="both"/>
        <w:rPr>
          <w:rFonts w:asciiTheme="minorHAnsi" w:hAnsiTheme="minorHAnsi" w:cstheme="minorHAnsi"/>
          <w:sz w:val="22"/>
          <w:szCs w:val="22"/>
        </w:rPr>
      </w:pPr>
    </w:p>
    <w:p w14:paraId="14BBE383" w14:textId="05A065CC" w:rsidR="006F6F42" w:rsidRPr="00722DDC" w:rsidRDefault="006F6F42" w:rsidP="00722DDC">
      <w:pPr>
        <w:pStyle w:val="Default"/>
        <w:jc w:val="both"/>
        <w:rPr>
          <w:rFonts w:asciiTheme="minorHAnsi" w:hAnsiTheme="minorHAnsi" w:cstheme="minorHAnsi"/>
          <w:sz w:val="22"/>
          <w:szCs w:val="22"/>
        </w:rPr>
      </w:pPr>
    </w:p>
    <w:p w14:paraId="756DE7AC" w14:textId="145DA3E7" w:rsidR="006F6F42" w:rsidRPr="00722DDC" w:rsidRDefault="006F6F42" w:rsidP="00722DDC">
      <w:pPr>
        <w:pStyle w:val="Default"/>
        <w:jc w:val="both"/>
        <w:rPr>
          <w:rFonts w:asciiTheme="minorHAnsi" w:hAnsiTheme="minorHAnsi" w:cstheme="minorHAnsi"/>
          <w:sz w:val="22"/>
          <w:szCs w:val="22"/>
        </w:rPr>
      </w:pPr>
      <w:r w:rsidRPr="00722DDC">
        <w:rPr>
          <w:rFonts w:asciiTheme="minorHAnsi" w:hAnsiTheme="minorHAnsi" w:cstheme="minorHAnsi"/>
          <w:noProof/>
          <w:sz w:val="22"/>
          <w:szCs w:val="22"/>
          <w:lang w:eastAsia="pt-BR"/>
        </w:rPr>
        <w:lastRenderedPageBreak/>
        <w:drawing>
          <wp:inline distT="0" distB="0" distL="0" distR="0" wp14:anchorId="6765967A" wp14:editId="583C749A">
            <wp:extent cx="3376246" cy="379178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6125" cy="3982569"/>
                    </a:xfrm>
                    <a:prstGeom prst="rect">
                      <a:avLst/>
                    </a:prstGeom>
                  </pic:spPr>
                </pic:pic>
              </a:graphicData>
            </a:graphic>
          </wp:inline>
        </w:drawing>
      </w:r>
    </w:p>
    <w:p w14:paraId="1F67FDB4" w14:textId="77777777" w:rsidR="005D7ED9" w:rsidRDefault="005D7ED9" w:rsidP="00722DDC">
      <w:pPr>
        <w:pStyle w:val="Default"/>
        <w:jc w:val="both"/>
        <w:rPr>
          <w:rFonts w:asciiTheme="minorHAnsi" w:hAnsiTheme="minorHAnsi" w:cstheme="minorHAnsi"/>
          <w:color w:val="008192"/>
          <w:sz w:val="22"/>
          <w:szCs w:val="22"/>
        </w:rPr>
      </w:pPr>
    </w:p>
    <w:p w14:paraId="138E8EB3" w14:textId="77777777" w:rsidR="005D7ED9" w:rsidRDefault="005D7ED9" w:rsidP="00722DDC">
      <w:pPr>
        <w:pStyle w:val="Default"/>
        <w:jc w:val="both"/>
        <w:rPr>
          <w:rFonts w:asciiTheme="minorHAnsi" w:hAnsiTheme="minorHAnsi" w:cstheme="minorHAnsi"/>
          <w:color w:val="008192"/>
          <w:sz w:val="22"/>
          <w:szCs w:val="22"/>
        </w:rPr>
      </w:pPr>
    </w:p>
    <w:p w14:paraId="6DEE1554" w14:textId="672BBA14" w:rsidR="006F6F42" w:rsidRPr="00722DDC" w:rsidRDefault="006F6F42" w:rsidP="00722DDC">
      <w:pPr>
        <w:pStyle w:val="Default"/>
        <w:jc w:val="both"/>
        <w:rPr>
          <w:rFonts w:asciiTheme="minorHAnsi" w:hAnsiTheme="minorHAnsi" w:cstheme="minorHAnsi"/>
          <w:color w:val="008192"/>
          <w:sz w:val="22"/>
          <w:szCs w:val="22"/>
        </w:rPr>
      </w:pPr>
      <w:r w:rsidRPr="00722DDC">
        <w:rPr>
          <w:rFonts w:asciiTheme="minorHAnsi" w:hAnsiTheme="minorHAnsi" w:cstheme="minorHAnsi"/>
          <w:color w:val="008192"/>
          <w:sz w:val="22"/>
          <w:szCs w:val="22"/>
        </w:rPr>
        <w:t>Receitas para a União</w:t>
      </w:r>
    </w:p>
    <w:p w14:paraId="78142E77" w14:textId="394792C7" w:rsidR="006F6F42" w:rsidRPr="00722DDC" w:rsidRDefault="006F6F42" w:rsidP="00722DDC">
      <w:pPr>
        <w:pStyle w:val="Default"/>
        <w:jc w:val="both"/>
        <w:rPr>
          <w:rFonts w:asciiTheme="minorHAnsi" w:hAnsiTheme="minorHAnsi" w:cstheme="minorHAnsi"/>
          <w:color w:val="008192"/>
          <w:sz w:val="22"/>
          <w:szCs w:val="22"/>
        </w:rPr>
      </w:pPr>
    </w:p>
    <w:p w14:paraId="09D6A667" w14:textId="151984A9" w:rsidR="006F6F42" w:rsidRPr="00722DDC" w:rsidRDefault="006F6F42"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Em 2019, a companhia arrecadou aproximadamente R$ 848 milhões para a União. Esse valor é oriundo da comercialização de petróleo e gás natural da União e da </w:t>
      </w:r>
      <w:r w:rsidR="002F1424">
        <w:rPr>
          <w:rFonts w:asciiTheme="minorHAnsi" w:hAnsiTheme="minorHAnsi" w:cstheme="minorHAnsi"/>
          <w:sz w:val="22"/>
          <w:szCs w:val="22"/>
        </w:rPr>
        <w:t>E</w:t>
      </w:r>
      <w:r w:rsidRPr="00722DDC">
        <w:rPr>
          <w:rFonts w:asciiTheme="minorHAnsi" w:hAnsiTheme="minorHAnsi" w:cstheme="minorHAnsi"/>
          <w:sz w:val="22"/>
          <w:szCs w:val="22"/>
        </w:rPr>
        <w:t xml:space="preserve">qualização de </w:t>
      </w:r>
      <w:r w:rsidR="002F1424">
        <w:rPr>
          <w:rFonts w:asciiTheme="minorHAnsi" w:hAnsiTheme="minorHAnsi" w:cstheme="minorHAnsi"/>
          <w:sz w:val="22"/>
          <w:szCs w:val="22"/>
        </w:rPr>
        <w:t>G</w:t>
      </w:r>
      <w:r w:rsidRPr="00722DDC">
        <w:rPr>
          <w:rFonts w:asciiTheme="minorHAnsi" w:hAnsiTheme="minorHAnsi" w:cstheme="minorHAnsi"/>
          <w:sz w:val="22"/>
          <w:szCs w:val="22"/>
        </w:rPr>
        <w:t xml:space="preserve">astos e </w:t>
      </w:r>
      <w:r w:rsidR="002F1424">
        <w:rPr>
          <w:rFonts w:asciiTheme="minorHAnsi" w:hAnsiTheme="minorHAnsi" w:cstheme="minorHAnsi"/>
          <w:sz w:val="22"/>
          <w:szCs w:val="22"/>
        </w:rPr>
        <w:t>V</w:t>
      </w:r>
      <w:r w:rsidRPr="00722DDC">
        <w:rPr>
          <w:rFonts w:asciiTheme="minorHAnsi" w:hAnsiTheme="minorHAnsi" w:cstheme="minorHAnsi"/>
          <w:sz w:val="22"/>
          <w:szCs w:val="22"/>
        </w:rPr>
        <w:t xml:space="preserve">olumes </w:t>
      </w:r>
      <w:r w:rsidR="002F1424">
        <w:rPr>
          <w:rFonts w:asciiTheme="minorHAnsi" w:hAnsiTheme="minorHAnsi" w:cstheme="minorHAnsi"/>
          <w:sz w:val="22"/>
          <w:szCs w:val="22"/>
        </w:rPr>
        <w:t xml:space="preserve">(EGV) </w:t>
      </w:r>
      <w:r w:rsidRPr="00722DDC">
        <w:rPr>
          <w:rFonts w:asciiTheme="minorHAnsi" w:hAnsiTheme="minorHAnsi" w:cstheme="minorHAnsi"/>
          <w:sz w:val="22"/>
          <w:szCs w:val="22"/>
        </w:rPr>
        <w:t xml:space="preserve">nos procedimentos de individualização da produção e nos acordos decorrentes, nos casos em que as jazidas da área do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-sal e das áreas estratégicas se estendam por áreas não concedidas ou não contratadas sob o regime de partilha de produção.</w:t>
      </w:r>
    </w:p>
    <w:p w14:paraId="59AA50B6" w14:textId="2A283FAF" w:rsidR="006F6F42" w:rsidRPr="00722DDC" w:rsidRDefault="006F6F42" w:rsidP="00722DDC">
      <w:pPr>
        <w:pStyle w:val="Default"/>
        <w:jc w:val="both"/>
        <w:rPr>
          <w:rFonts w:asciiTheme="minorHAnsi" w:hAnsiTheme="minorHAnsi" w:cstheme="minorHAnsi"/>
          <w:color w:val="008192"/>
          <w:sz w:val="22"/>
          <w:szCs w:val="22"/>
        </w:rPr>
      </w:pPr>
    </w:p>
    <w:p w14:paraId="4A7005FA" w14:textId="001696E4" w:rsidR="00250286" w:rsidRPr="00722DDC" w:rsidRDefault="006F6F42" w:rsidP="00722DDC">
      <w:pPr>
        <w:pStyle w:val="Default"/>
        <w:jc w:val="both"/>
        <w:rPr>
          <w:rFonts w:asciiTheme="minorHAnsi" w:hAnsiTheme="minorHAnsi" w:cstheme="minorHAnsi"/>
          <w:color w:val="008192"/>
          <w:sz w:val="22"/>
          <w:szCs w:val="22"/>
        </w:rPr>
      </w:pPr>
      <w:r w:rsidRPr="00722DDC">
        <w:rPr>
          <w:rFonts w:asciiTheme="minorHAnsi" w:hAnsiTheme="minorHAnsi" w:cstheme="minorHAnsi"/>
          <w:noProof/>
          <w:sz w:val="22"/>
          <w:szCs w:val="22"/>
          <w:lang w:eastAsia="pt-BR"/>
        </w:rPr>
        <w:lastRenderedPageBreak/>
        <w:drawing>
          <wp:inline distT="0" distB="0" distL="0" distR="0" wp14:anchorId="7DA76A2A" wp14:editId="428F83C8">
            <wp:extent cx="4636126" cy="423035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6880" cy="4267543"/>
                    </a:xfrm>
                    <a:prstGeom prst="rect">
                      <a:avLst/>
                    </a:prstGeom>
                  </pic:spPr>
                </pic:pic>
              </a:graphicData>
            </a:graphic>
          </wp:inline>
        </w:drawing>
      </w:r>
    </w:p>
    <w:p w14:paraId="53799302" w14:textId="77777777" w:rsidR="00250286" w:rsidRPr="00722DDC" w:rsidRDefault="00250286" w:rsidP="00722DDC">
      <w:pPr>
        <w:pStyle w:val="Default"/>
        <w:jc w:val="both"/>
        <w:rPr>
          <w:rFonts w:asciiTheme="minorHAnsi" w:hAnsiTheme="minorHAnsi" w:cstheme="minorHAnsi"/>
          <w:color w:val="008192"/>
          <w:sz w:val="22"/>
          <w:szCs w:val="22"/>
        </w:rPr>
      </w:pPr>
    </w:p>
    <w:p w14:paraId="59E0E127" w14:textId="77777777" w:rsidR="00B07F9D" w:rsidRDefault="00B07F9D" w:rsidP="00722DDC">
      <w:pPr>
        <w:pStyle w:val="Default"/>
        <w:jc w:val="both"/>
        <w:rPr>
          <w:rFonts w:asciiTheme="minorHAnsi" w:hAnsiTheme="minorHAnsi" w:cstheme="minorHAnsi"/>
          <w:b/>
          <w:bCs/>
          <w:color w:val="008192"/>
          <w:sz w:val="22"/>
          <w:szCs w:val="22"/>
        </w:rPr>
      </w:pPr>
    </w:p>
    <w:p w14:paraId="2DC93336" w14:textId="77777777" w:rsidR="00B07F9D" w:rsidRDefault="00B07F9D" w:rsidP="00722DDC">
      <w:pPr>
        <w:pStyle w:val="Default"/>
        <w:jc w:val="both"/>
        <w:rPr>
          <w:rFonts w:asciiTheme="minorHAnsi" w:hAnsiTheme="minorHAnsi" w:cstheme="minorHAnsi"/>
          <w:b/>
          <w:bCs/>
          <w:color w:val="008192"/>
          <w:sz w:val="22"/>
          <w:szCs w:val="22"/>
        </w:rPr>
      </w:pPr>
    </w:p>
    <w:p w14:paraId="1AA17030" w14:textId="77777777" w:rsidR="005F44D3" w:rsidRDefault="005F44D3" w:rsidP="00722DDC">
      <w:pPr>
        <w:pStyle w:val="Default"/>
        <w:jc w:val="both"/>
        <w:rPr>
          <w:rFonts w:asciiTheme="minorHAnsi" w:hAnsiTheme="minorHAnsi" w:cstheme="minorHAnsi"/>
          <w:b/>
          <w:bCs/>
          <w:color w:val="008192"/>
          <w:sz w:val="22"/>
          <w:szCs w:val="22"/>
        </w:rPr>
      </w:pPr>
    </w:p>
    <w:p w14:paraId="342DFDFD" w14:textId="238E06A3" w:rsidR="00F42A09" w:rsidRPr="00722DDC" w:rsidRDefault="00F42A09"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Estrutura de controles internos e gerenciamento de riscos</w:t>
      </w:r>
    </w:p>
    <w:p w14:paraId="3559E8F3" w14:textId="77777777" w:rsidR="00F42A09" w:rsidRPr="00722DDC" w:rsidRDefault="00F42A09" w:rsidP="00722DDC">
      <w:pPr>
        <w:pStyle w:val="Default"/>
        <w:jc w:val="both"/>
        <w:rPr>
          <w:rFonts w:asciiTheme="minorHAnsi" w:hAnsiTheme="minorHAnsi" w:cstheme="minorHAnsi"/>
          <w:sz w:val="22"/>
          <w:szCs w:val="22"/>
        </w:rPr>
      </w:pPr>
    </w:p>
    <w:p w14:paraId="3CCBBC56" w14:textId="77777777" w:rsidR="00F42A09" w:rsidRPr="00722DDC" w:rsidRDefault="00F42A0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O modelo das Três Linhas de Defesa, conforme ilustrado abaixo, foi estruturado na empresa, com o objetivo de apoiar o gerenciamento de riscos, a implementação e acompanhamento do planejamento estratégico, e o estabelecimento e acompanhamento dos controles internos e da gestão. O modelo também oferece uma estrutura de reporte à alta administração e aos órgãos de governança e controle da companhia.</w:t>
      </w:r>
    </w:p>
    <w:p w14:paraId="29C2FECE" w14:textId="39A0593E" w:rsidR="00F42A09" w:rsidRPr="00722DDC" w:rsidRDefault="00F42A09" w:rsidP="00722DDC">
      <w:pPr>
        <w:pStyle w:val="Default"/>
        <w:jc w:val="both"/>
        <w:rPr>
          <w:rFonts w:asciiTheme="minorHAnsi" w:hAnsiTheme="minorHAnsi" w:cstheme="minorHAnsi"/>
          <w:color w:val="008192"/>
          <w:sz w:val="22"/>
          <w:szCs w:val="22"/>
        </w:rPr>
      </w:pPr>
    </w:p>
    <w:p w14:paraId="578C74CA" w14:textId="42695E59" w:rsidR="00387C98" w:rsidRPr="00722DDC" w:rsidRDefault="00387C98" w:rsidP="00722DDC">
      <w:pPr>
        <w:pStyle w:val="Default"/>
        <w:jc w:val="both"/>
        <w:rPr>
          <w:rFonts w:asciiTheme="minorHAnsi" w:hAnsiTheme="minorHAnsi" w:cstheme="minorHAnsi"/>
          <w:color w:val="008192"/>
          <w:sz w:val="22"/>
          <w:szCs w:val="22"/>
        </w:rPr>
      </w:pPr>
      <w:r w:rsidRPr="00722DDC">
        <w:rPr>
          <w:rFonts w:asciiTheme="minorHAnsi" w:hAnsiTheme="minorHAnsi" w:cstheme="minorHAnsi"/>
          <w:noProof/>
          <w:sz w:val="22"/>
          <w:szCs w:val="22"/>
          <w:lang w:eastAsia="pt-BR"/>
        </w:rPr>
        <w:lastRenderedPageBreak/>
        <w:drawing>
          <wp:inline distT="0" distB="0" distL="0" distR="0" wp14:anchorId="5F554490" wp14:editId="16ADAE18">
            <wp:extent cx="4406265" cy="259744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24"/>
                    <a:stretch/>
                  </pic:blipFill>
                  <pic:spPr bwMode="auto">
                    <a:xfrm>
                      <a:off x="0" y="0"/>
                      <a:ext cx="4424958" cy="2608464"/>
                    </a:xfrm>
                    <a:prstGeom prst="rect">
                      <a:avLst/>
                    </a:prstGeom>
                    <a:ln>
                      <a:noFill/>
                    </a:ln>
                    <a:extLst>
                      <a:ext uri="{53640926-AAD7-44D8-BBD7-CCE9431645EC}">
                        <a14:shadowObscured xmlns:a14="http://schemas.microsoft.com/office/drawing/2010/main"/>
                      </a:ext>
                    </a:extLst>
                  </pic:spPr>
                </pic:pic>
              </a:graphicData>
            </a:graphic>
          </wp:inline>
        </w:drawing>
      </w:r>
    </w:p>
    <w:p w14:paraId="3460596A" w14:textId="3085A8E8" w:rsidR="00F42A09" w:rsidRPr="00722DDC" w:rsidRDefault="00F42A09" w:rsidP="00722DDC">
      <w:pPr>
        <w:pStyle w:val="Default"/>
        <w:jc w:val="both"/>
        <w:rPr>
          <w:rFonts w:asciiTheme="minorHAnsi" w:hAnsiTheme="minorHAnsi" w:cstheme="minorHAnsi"/>
          <w:color w:val="008192"/>
          <w:sz w:val="22"/>
          <w:szCs w:val="22"/>
        </w:rPr>
      </w:pPr>
    </w:p>
    <w:p w14:paraId="44F4FECC" w14:textId="77777777" w:rsidR="00E56C9E" w:rsidRPr="00722DDC" w:rsidRDefault="00E56C9E" w:rsidP="00722DDC">
      <w:pPr>
        <w:pStyle w:val="Default"/>
        <w:jc w:val="both"/>
        <w:rPr>
          <w:rFonts w:asciiTheme="minorHAnsi" w:hAnsiTheme="minorHAnsi" w:cstheme="minorHAnsi"/>
          <w:color w:val="008192"/>
          <w:sz w:val="22"/>
          <w:szCs w:val="22"/>
        </w:rPr>
      </w:pPr>
      <w:r w:rsidRPr="00722DDC">
        <w:rPr>
          <w:rFonts w:asciiTheme="minorHAnsi" w:hAnsiTheme="minorHAnsi" w:cstheme="minorHAnsi"/>
          <w:color w:val="008192"/>
          <w:sz w:val="22"/>
          <w:szCs w:val="22"/>
        </w:rPr>
        <w:t>Sistema de Gestão</w:t>
      </w:r>
    </w:p>
    <w:p w14:paraId="72E68E7F" w14:textId="77777777"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p>
    <w:p w14:paraId="05DFACB5" w14:textId="7F047065" w:rsidR="00E56C9E" w:rsidRPr="00722DDC" w:rsidRDefault="00A51E3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O</w:t>
      </w:r>
      <w:r w:rsidR="00E56C9E" w:rsidRPr="00722DDC">
        <w:rPr>
          <w:rStyle w:val="Hyperlink"/>
          <w:rFonts w:asciiTheme="minorHAnsi" w:hAnsiTheme="minorHAnsi" w:cstheme="minorHAnsi"/>
          <w:color w:val="0D0D0D"/>
          <w:sz w:val="22"/>
          <w:szCs w:val="22"/>
          <w:u w:val="none"/>
          <w:bdr w:val="none" w:sz="0" w:space="0" w:color="auto" w:frame="1"/>
        </w:rPr>
        <w:t xml:space="preserve"> Sistema de Gestão </w:t>
      </w:r>
      <w:r w:rsidRPr="00722DDC">
        <w:rPr>
          <w:rStyle w:val="Hyperlink"/>
          <w:rFonts w:asciiTheme="minorHAnsi" w:hAnsiTheme="minorHAnsi" w:cstheme="minorHAnsi"/>
          <w:color w:val="0D0D0D"/>
          <w:sz w:val="22"/>
          <w:szCs w:val="22"/>
          <w:u w:val="none"/>
          <w:bdr w:val="none" w:sz="0" w:space="0" w:color="auto" w:frame="1"/>
        </w:rPr>
        <w:t xml:space="preserve">da </w:t>
      </w:r>
      <w:proofErr w:type="spellStart"/>
      <w:r w:rsidRPr="00722DDC">
        <w:rPr>
          <w:rStyle w:val="Hyperlink"/>
          <w:rFonts w:asciiTheme="minorHAnsi" w:hAnsiTheme="minorHAnsi" w:cstheme="minorHAnsi"/>
          <w:color w:val="0D0D0D"/>
          <w:sz w:val="22"/>
          <w:szCs w:val="22"/>
          <w:u w:val="none"/>
          <w:bdr w:val="none" w:sz="0" w:space="0" w:color="auto" w:frame="1"/>
        </w:rPr>
        <w:t>Pré</w:t>
      </w:r>
      <w:proofErr w:type="spellEnd"/>
      <w:r w:rsidRPr="00722DDC">
        <w:rPr>
          <w:rStyle w:val="Hyperlink"/>
          <w:rFonts w:asciiTheme="minorHAnsi" w:hAnsiTheme="minorHAnsi" w:cstheme="minorHAnsi"/>
          <w:color w:val="0D0D0D"/>
          <w:sz w:val="22"/>
          <w:szCs w:val="22"/>
          <w:u w:val="none"/>
          <w:bdr w:val="none" w:sz="0" w:space="0" w:color="auto" w:frame="1"/>
        </w:rPr>
        <w:t xml:space="preserve">-Sal Petróleo </w:t>
      </w:r>
      <w:r w:rsidR="00E56C9E" w:rsidRPr="00722DDC">
        <w:rPr>
          <w:rStyle w:val="Hyperlink"/>
          <w:rFonts w:asciiTheme="minorHAnsi" w:hAnsiTheme="minorHAnsi" w:cstheme="minorHAnsi"/>
          <w:color w:val="0D0D0D"/>
          <w:sz w:val="22"/>
          <w:szCs w:val="22"/>
          <w:u w:val="none"/>
          <w:bdr w:val="none" w:sz="0" w:space="0" w:color="auto" w:frame="1"/>
        </w:rPr>
        <w:t>é composto pelo Planejamento Estratégico, Gerência da Rotina, Gerenciamento de Risco e Programa de Integridade. A Gerência da Rotina estabelece uma reunião de análise crítica mensal com a alta administração e a Diretoria Executiva, em que são acompanhados os indicadores de desempenho, o plano de contratações e o andamento da implantação dos processos e procedimentos na empresa.</w:t>
      </w:r>
    </w:p>
    <w:p w14:paraId="162468CD" w14:textId="77777777"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p>
    <w:p w14:paraId="70F15200" w14:textId="77777777"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highlight w:val="yellow"/>
          <w:u w:val="none"/>
          <w:bdr w:val="none" w:sz="0" w:space="0" w:color="auto" w:frame="1"/>
        </w:rPr>
      </w:pPr>
    </w:p>
    <w:p w14:paraId="74E3B751" w14:textId="1532B8AC" w:rsidR="00E56C9E" w:rsidRPr="00722DDC" w:rsidRDefault="00BD7B53"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highlight w:val="yellow"/>
          <w:bdr w:val="none" w:sz="0" w:space="0" w:color="auto" w:frame="1"/>
        </w:rPr>
      </w:pPr>
      <w:r w:rsidRPr="00BD7B53">
        <w:rPr>
          <w:noProof/>
        </w:rPr>
        <w:drawing>
          <wp:inline distT="0" distB="0" distL="0" distR="0" wp14:anchorId="55E36344" wp14:editId="6B13FD0F">
            <wp:extent cx="4179047" cy="2491991"/>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7856" cy="2515133"/>
                    </a:xfrm>
                    <a:prstGeom prst="rect">
                      <a:avLst/>
                    </a:prstGeom>
                  </pic:spPr>
                </pic:pic>
              </a:graphicData>
            </a:graphic>
          </wp:inline>
        </w:drawing>
      </w:r>
    </w:p>
    <w:p w14:paraId="5EFC9F3A" w14:textId="0EDD099E"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bdr w:val="none" w:sz="0" w:space="0" w:color="auto" w:frame="1"/>
        </w:rPr>
      </w:pPr>
    </w:p>
    <w:p w14:paraId="1C755734" w14:textId="3D6EDCD1" w:rsidR="00E56C9E"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O acompanhamento dos processos e procedimentos tem, como sustentação, o </w:t>
      </w:r>
      <w:r w:rsidR="002F1424">
        <w:rPr>
          <w:rStyle w:val="Hyperlink"/>
          <w:rFonts w:asciiTheme="minorHAnsi" w:hAnsiTheme="minorHAnsi" w:cstheme="minorHAnsi"/>
          <w:color w:val="0D0D0D"/>
          <w:sz w:val="22"/>
          <w:szCs w:val="22"/>
          <w:u w:val="none"/>
          <w:bdr w:val="none" w:sz="0" w:space="0" w:color="auto" w:frame="1"/>
        </w:rPr>
        <w:t>S</w:t>
      </w:r>
      <w:r w:rsidRPr="00722DDC">
        <w:rPr>
          <w:rStyle w:val="Hyperlink"/>
          <w:rFonts w:asciiTheme="minorHAnsi" w:hAnsiTheme="minorHAnsi" w:cstheme="minorHAnsi"/>
          <w:color w:val="0D0D0D"/>
          <w:sz w:val="22"/>
          <w:szCs w:val="22"/>
          <w:u w:val="none"/>
          <w:bdr w:val="none" w:sz="0" w:space="0" w:color="auto" w:frame="1"/>
        </w:rPr>
        <w:t xml:space="preserve">istema de </w:t>
      </w:r>
      <w:r w:rsidR="002F1424">
        <w:rPr>
          <w:rStyle w:val="Hyperlink"/>
          <w:rFonts w:asciiTheme="minorHAnsi" w:hAnsiTheme="minorHAnsi" w:cstheme="minorHAnsi"/>
          <w:color w:val="0D0D0D"/>
          <w:sz w:val="22"/>
          <w:szCs w:val="22"/>
          <w:u w:val="none"/>
          <w:bdr w:val="none" w:sz="0" w:space="0" w:color="auto" w:frame="1"/>
        </w:rPr>
        <w:t>P</w:t>
      </w:r>
      <w:r w:rsidRPr="00722DDC">
        <w:rPr>
          <w:rStyle w:val="Hyperlink"/>
          <w:rFonts w:asciiTheme="minorHAnsi" w:hAnsiTheme="minorHAnsi" w:cstheme="minorHAnsi"/>
          <w:color w:val="0D0D0D"/>
          <w:sz w:val="22"/>
          <w:szCs w:val="22"/>
          <w:u w:val="none"/>
          <w:bdr w:val="none" w:sz="0" w:space="0" w:color="auto" w:frame="1"/>
        </w:rPr>
        <w:t xml:space="preserve">adronização e de </w:t>
      </w:r>
      <w:r w:rsidR="002F1424">
        <w:rPr>
          <w:rStyle w:val="Hyperlink"/>
          <w:rFonts w:asciiTheme="minorHAnsi" w:hAnsiTheme="minorHAnsi" w:cstheme="minorHAnsi"/>
          <w:color w:val="0D0D0D"/>
          <w:sz w:val="22"/>
          <w:szCs w:val="22"/>
          <w:u w:val="none"/>
          <w:bdr w:val="none" w:sz="0" w:space="0" w:color="auto" w:frame="1"/>
        </w:rPr>
        <w:t>G</w:t>
      </w:r>
      <w:r w:rsidRPr="00722DDC">
        <w:rPr>
          <w:rStyle w:val="Hyperlink"/>
          <w:rFonts w:asciiTheme="minorHAnsi" w:hAnsiTheme="minorHAnsi" w:cstheme="minorHAnsi"/>
          <w:color w:val="0D0D0D"/>
          <w:sz w:val="22"/>
          <w:szCs w:val="22"/>
          <w:u w:val="none"/>
          <w:bdr w:val="none" w:sz="0" w:space="0" w:color="auto" w:frame="1"/>
        </w:rPr>
        <w:t xml:space="preserve">estão da </w:t>
      </w:r>
      <w:r w:rsidR="002F1424">
        <w:rPr>
          <w:rStyle w:val="Hyperlink"/>
          <w:rFonts w:asciiTheme="minorHAnsi" w:hAnsiTheme="minorHAnsi" w:cstheme="minorHAnsi"/>
          <w:color w:val="0D0D0D"/>
          <w:sz w:val="22"/>
          <w:szCs w:val="22"/>
          <w:u w:val="none"/>
          <w:bdr w:val="none" w:sz="0" w:space="0" w:color="auto" w:frame="1"/>
        </w:rPr>
        <w:t>D</w:t>
      </w:r>
      <w:r w:rsidRPr="00722DDC">
        <w:rPr>
          <w:rStyle w:val="Hyperlink"/>
          <w:rFonts w:asciiTheme="minorHAnsi" w:hAnsiTheme="minorHAnsi" w:cstheme="minorHAnsi"/>
          <w:color w:val="0D0D0D"/>
          <w:sz w:val="22"/>
          <w:szCs w:val="22"/>
          <w:u w:val="none"/>
          <w:bdr w:val="none" w:sz="0" w:space="0" w:color="auto" w:frame="1"/>
        </w:rPr>
        <w:t xml:space="preserve">ocumentação. Esse sistema estabelece os conceitos, critérios, responsabilidades e a forma de controle para garantia da criação, utilização e revisão dos padrões, por parte dos colaboradores. </w:t>
      </w:r>
    </w:p>
    <w:p w14:paraId="60660841" w14:textId="68712753"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bdr w:val="none" w:sz="0" w:space="0" w:color="auto" w:frame="1"/>
        </w:rPr>
      </w:pPr>
    </w:p>
    <w:p w14:paraId="4557A24B" w14:textId="223A0A0B"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 xml:space="preserve"> </w:t>
      </w:r>
      <w:r w:rsidR="00A51E39" w:rsidRPr="00722DDC">
        <w:rPr>
          <w:rStyle w:val="Hyperlink"/>
          <w:rFonts w:asciiTheme="minorHAnsi" w:hAnsiTheme="minorHAnsi" w:cstheme="minorHAnsi"/>
          <w:color w:val="0D0D0D"/>
          <w:sz w:val="22"/>
          <w:szCs w:val="22"/>
          <w:u w:val="none"/>
          <w:bdr w:val="none" w:sz="0" w:space="0" w:color="auto" w:frame="1"/>
        </w:rPr>
        <w:t xml:space="preserve">A empresa conta </w:t>
      </w:r>
      <w:r w:rsidRPr="00722DDC">
        <w:rPr>
          <w:rStyle w:val="Hyperlink"/>
          <w:rFonts w:asciiTheme="minorHAnsi" w:hAnsiTheme="minorHAnsi" w:cstheme="minorHAnsi"/>
          <w:color w:val="0D0D0D"/>
          <w:sz w:val="22"/>
          <w:szCs w:val="22"/>
          <w:u w:val="none"/>
          <w:bdr w:val="none" w:sz="0" w:space="0" w:color="auto" w:frame="1"/>
        </w:rPr>
        <w:t>com um total de 74 documentos elaborados:</w:t>
      </w:r>
    </w:p>
    <w:p w14:paraId="4DF9FAAD" w14:textId="7B3F87D5"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bdr w:val="none" w:sz="0" w:space="0" w:color="auto" w:frame="1"/>
        </w:rPr>
      </w:pPr>
      <w:r w:rsidRPr="00722DDC">
        <w:rPr>
          <w:rStyle w:val="Hyperlink"/>
          <w:rFonts w:asciiTheme="minorHAnsi" w:hAnsiTheme="minorHAnsi" w:cstheme="minorHAnsi"/>
          <w:color w:val="0D0D0D"/>
          <w:sz w:val="22"/>
          <w:szCs w:val="22"/>
        </w:rPr>
        <w:lastRenderedPageBreak/>
        <w:t> </w:t>
      </w:r>
      <w:r w:rsidR="001336CE" w:rsidRPr="001336CE">
        <w:rPr>
          <w:noProof/>
        </w:rPr>
        <w:drawing>
          <wp:inline distT="0" distB="0" distL="0" distR="0" wp14:anchorId="4F4AE366" wp14:editId="0702A4FD">
            <wp:extent cx="2657475" cy="18478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7475" cy="1847850"/>
                    </a:xfrm>
                    <a:prstGeom prst="rect">
                      <a:avLst/>
                    </a:prstGeom>
                  </pic:spPr>
                </pic:pic>
              </a:graphicData>
            </a:graphic>
          </wp:inline>
        </w:drawing>
      </w:r>
    </w:p>
    <w:p w14:paraId="0A129A1D" w14:textId="30692BF7"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bdr w:val="none" w:sz="0" w:space="0" w:color="auto" w:frame="1"/>
        </w:rPr>
      </w:pPr>
    </w:p>
    <w:p w14:paraId="06AF0728" w14:textId="77777777" w:rsidR="00E56C9E" w:rsidRPr="00722DDC" w:rsidRDefault="00E56C9E"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bCs/>
          <w:color w:val="0D0D0D"/>
          <w:sz w:val="22"/>
          <w:szCs w:val="22"/>
          <w:bdr w:val="none" w:sz="0" w:space="0" w:color="auto" w:frame="1"/>
        </w:rPr>
      </w:pPr>
    </w:p>
    <w:p w14:paraId="5AE810AC" w14:textId="49068900" w:rsidR="003A6AE9" w:rsidRPr="00722DDC" w:rsidRDefault="003A6AE9" w:rsidP="00722DDC">
      <w:pPr>
        <w:pStyle w:val="Default"/>
        <w:jc w:val="both"/>
        <w:rPr>
          <w:rFonts w:asciiTheme="minorHAnsi" w:hAnsiTheme="minorHAnsi" w:cstheme="minorHAnsi"/>
          <w:color w:val="008192"/>
          <w:sz w:val="22"/>
          <w:szCs w:val="22"/>
        </w:rPr>
      </w:pPr>
      <w:r w:rsidRPr="009C262E">
        <w:rPr>
          <w:rFonts w:asciiTheme="minorHAnsi" w:hAnsiTheme="minorHAnsi" w:cstheme="minorHAnsi"/>
          <w:color w:val="008192"/>
          <w:sz w:val="22"/>
          <w:szCs w:val="22"/>
        </w:rPr>
        <w:t xml:space="preserve">Controle </w:t>
      </w:r>
      <w:r w:rsidR="009C262E" w:rsidRPr="009C262E">
        <w:rPr>
          <w:rFonts w:asciiTheme="minorHAnsi" w:hAnsiTheme="minorHAnsi" w:cstheme="minorHAnsi"/>
          <w:color w:val="008192"/>
          <w:sz w:val="22"/>
          <w:szCs w:val="22"/>
        </w:rPr>
        <w:t>c</w:t>
      </w:r>
      <w:r w:rsidRPr="00C00AE5">
        <w:rPr>
          <w:rFonts w:asciiTheme="minorHAnsi" w:hAnsiTheme="minorHAnsi" w:cstheme="minorHAnsi"/>
          <w:color w:val="008192"/>
          <w:sz w:val="22"/>
          <w:szCs w:val="22"/>
        </w:rPr>
        <w:t xml:space="preserve">ontábil </w:t>
      </w:r>
      <w:r w:rsidR="009C262E" w:rsidRPr="00C00AE5">
        <w:rPr>
          <w:rFonts w:asciiTheme="minorHAnsi" w:hAnsiTheme="minorHAnsi" w:cstheme="minorHAnsi"/>
          <w:color w:val="008192"/>
          <w:sz w:val="22"/>
          <w:szCs w:val="22"/>
        </w:rPr>
        <w:t>f</w:t>
      </w:r>
      <w:r w:rsidRPr="00C00AE5">
        <w:rPr>
          <w:rFonts w:asciiTheme="minorHAnsi" w:hAnsiTheme="minorHAnsi" w:cstheme="minorHAnsi"/>
          <w:color w:val="008192"/>
          <w:sz w:val="22"/>
          <w:szCs w:val="22"/>
        </w:rPr>
        <w:t xml:space="preserve">inanceiro e </w:t>
      </w:r>
      <w:r w:rsidR="009C262E" w:rsidRPr="00C00AE5">
        <w:rPr>
          <w:rFonts w:asciiTheme="minorHAnsi" w:hAnsiTheme="minorHAnsi" w:cstheme="minorHAnsi"/>
          <w:color w:val="008192"/>
          <w:sz w:val="22"/>
          <w:szCs w:val="22"/>
        </w:rPr>
        <w:t>o</w:t>
      </w:r>
      <w:r w:rsidRPr="00C00AE5">
        <w:rPr>
          <w:rFonts w:asciiTheme="minorHAnsi" w:hAnsiTheme="minorHAnsi" w:cstheme="minorHAnsi"/>
          <w:color w:val="008192"/>
          <w:sz w:val="22"/>
          <w:szCs w:val="22"/>
        </w:rPr>
        <w:t>rçamentário</w:t>
      </w:r>
    </w:p>
    <w:p w14:paraId="13D46CF4" w14:textId="77777777" w:rsidR="003A6AE9" w:rsidRPr="00722DDC" w:rsidRDefault="003A6AE9" w:rsidP="00722DDC">
      <w:pPr>
        <w:pStyle w:val="NormalWeb"/>
        <w:shd w:val="clear" w:color="auto" w:fill="FFFFFF"/>
        <w:spacing w:before="0" w:beforeAutospacing="0" w:after="0" w:afterAutospacing="0" w:line="360" w:lineRule="atLeast"/>
        <w:jc w:val="both"/>
        <w:rPr>
          <w:rStyle w:val="Hyperlink"/>
          <w:rFonts w:asciiTheme="minorHAnsi" w:hAnsiTheme="minorHAnsi" w:cstheme="minorHAnsi"/>
          <w:color w:val="0D0D0D"/>
          <w:sz w:val="22"/>
          <w:szCs w:val="22"/>
          <w:u w:val="none"/>
          <w:bdr w:val="none" w:sz="0" w:space="0" w:color="auto" w:frame="1"/>
        </w:rPr>
      </w:pPr>
    </w:p>
    <w:p w14:paraId="576497A5" w14:textId="77777777"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 xml:space="preserve">A Gerência de Controle e Finanças é responsável por assegurar a confiabilidade dos registros e controles contábeis e a pronta elaboração de relatórios e demonstrações contábeis. As transações da </w:t>
      </w:r>
      <w:proofErr w:type="spellStart"/>
      <w:r w:rsidRPr="00722DDC">
        <w:rPr>
          <w:rStyle w:val="Hyperlink"/>
          <w:rFonts w:asciiTheme="minorHAnsi" w:hAnsiTheme="minorHAnsi" w:cstheme="minorHAnsi"/>
          <w:color w:val="0D0D0D"/>
          <w:sz w:val="22"/>
          <w:szCs w:val="22"/>
          <w:u w:val="none"/>
          <w:bdr w:val="none" w:sz="0" w:space="0" w:color="auto" w:frame="1"/>
        </w:rPr>
        <w:t>Pré</w:t>
      </w:r>
      <w:proofErr w:type="spellEnd"/>
      <w:r w:rsidRPr="00722DDC">
        <w:rPr>
          <w:rStyle w:val="Hyperlink"/>
          <w:rFonts w:asciiTheme="minorHAnsi" w:hAnsiTheme="minorHAnsi" w:cstheme="minorHAnsi"/>
          <w:color w:val="0D0D0D"/>
          <w:sz w:val="22"/>
          <w:szCs w:val="22"/>
          <w:u w:val="none"/>
          <w:bdr w:val="none" w:sz="0" w:space="0" w:color="auto" w:frame="1"/>
        </w:rPr>
        <w:t>-Sal Petróleo são transparentes, totalmente documentadas, contabilizadas e classificadas para contas que refletem a sua natureza, de maneira precisa e completa.</w:t>
      </w:r>
    </w:p>
    <w:p w14:paraId="491A67F6" w14:textId="77777777"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p>
    <w:p w14:paraId="15132C1A" w14:textId="77777777"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eastAsiaTheme="minorHAnsi" w:hAnsiTheme="minorHAnsi" w:cstheme="minorHAnsi"/>
          <w:color w:val="0D0D0D"/>
          <w:sz w:val="22"/>
          <w:szCs w:val="22"/>
          <w:u w:val="none"/>
          <w:bdr w:val="none" w:sz="0" w:space="0" w:color="auto" w:frame="1"/>
          <w:lang w:eastAsia="en-US"/>
        </w:rPr>
      </w:pPr>
      <w:r w:rsidRPr="00722DDC">
        <w:rPr>
          <w:rStyle w:val="Hyperlink"/>
          <w:rFonts w:asciiTheme="minorHAnsi" w:hAnsiTheme="minorHAnsi" w:cstheme="minorHAnsi"/>
          <w:color w:val="0D0D0D"/>
          <w:sz w:val="22"/>
          <w:szCs w:val="22"/>
          <w:u w:val="none"/>
          <w:bdr w:val="none" w:sz="0" w:space="0" w:color="auto" w:frame="1"/>
        </w:rPr>
        <w:t xml:space="preserve">As demonstrações contábeis são auditadas trimestralmente por auditores externos independentes. Estes são supervisionados pelo Comitê de Auditoria Estatutário, visando assegurar a qualidade de elaboração das demonstrações contábeis. Os procedimentos de contratação de bens e serviços são realizados por meio dos preceitos previstos na Lei nº 13.303/2016 e no Regulamento Interno de Licitações e Contratos, aprovado pela administração. Para cada contrato assinado, o diretor da área demandante da contratação designa um gestor de contrato. </w:t>
      </w:r>
    </w:p>
    <w:p w14:paraId="1B8F8BDB" w14:textId="77777777"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p>
    <w:p w14:paraId="6CF5230D" w14:textId="1AC297B9" w:rsidR="003A6AE9" w:rsidRPr="00722DDC" w:rsidRDefault="003A6AE9" w:rsidP="00722DDC">
      <w:pPr>
        <w:pStyle w:val="NormalWeb"/>
        <w:shd w:val="clear" w:color="auto" w:fill="FFFFFF"/>
        <w:spacing w:before="0" w:beforeAutospacing="0" w:after="0" w:afterAutospacing="0" w:line="360" w:lineRule="atLeast"/>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 xml:space="preserve">Procedimentos na área contábil e financeira estabelecem aprovação do gestor de contrato previamente ao encaminhamento para a </w:t>
      </w:r>
      <w:r w:rsidR="002F1424">
        <w:rPr>
          <w:rStyle w:val="Hyperlink"/>
          <w:rFonts w:asciiTheme="minorHAnsi" w:hAnsiTheme="minorHAnsi" w:cstheme="minorHAnsi"/>
          <w:color w:val="0D0D0D"/>
          <w:sz w:val="22"/>
          <w:szCs w:val="22"/>
          <w:u w:val="none"/>
          <w:bdr w:val="none" w:sz="0" w:space="0" w:color="auto" w:frame="1"/>
        </w:rPr>
        <w:t>G</w:t>
      </w:r>
      <w:r w:rsidRPr="00722DDC">
        <w:rPr>
          <w:rStyle w:val="Hyperlink"/>
          <w:rFonts w:asciiTheme="minorHAnsi" w:hAnsiTheme="minorHAnsi" w:cstheme="minorHAnsi"/>
          <w:color w:val="0D0D0D"/>
          <w:sz w:val="22"/>
          <w:szCs w:val="22"/>
          <w:u w:val="none"/>
          <w:bdr w:val="none" w:sz="0" w:space="0" w:color="auto" w:frame="1"/>
        </w:rPr>
        <w:t>erência de Controle e Finanças para fins de pagamento. Esta, por sua vez, demanda tripla aprovação para todas as operações financeiras, como forma de prevenir irregularidades.</w:t>
      </w:r>
    </w:p>
    <w:p w14:paraId="134EA967" w14:textId="77777777"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p>
    <w:p w14:paraId="4BC59BAD" w14:textId="57FE8D91"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highlight w:val="yellow"/>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Mensalmente, o Relatório de Gestão Contábil Financeira e Orçamentária é apreciado pela Diretoria Executiva, previamente ao envio para o Conselho Fiscal. Nesse relatório, es</w:t>
      </w:r>
      <w:r w:rsidR="002F1424">
        <w:rPr>
          <w:rStyle w:val="Hyperlink"/>
          <w:rFonts w:asciiTheme="minorHAnsi" w:hAnsiTheme="minorHAnsi" w:cstheme="minorHAnsi"/>
          <w:color w:val="0D0D0D"/>
          <w:sz w:val="22"/>
          <w:szCs w:val="22"/>
          <w:u w:val="none"/>
          <w:bdr w:val="none" w:sz="0" w:space="0" w:color="auto" w:frame="1"/>
        </w:rPr>
        <w:t>s</w:t>
      </w:r>
      <w:r w:rsidRPr="00722DDC">
        <w:rPr>
          <w:rStyle w:val="Hyperlink"/>
          <w:rFonts w:asciiTheme="minorHAnsi" w:hAnsiTheme="minorHAnsi" w:cstheme="minorHAnsi"/>
          <w:color w:val="0D0D0D"/>
          <w:sz w:val="22"/>
          <w:szCs w:val="22"/>
          <w:u w:val="none"/>
          <w:bdr w:val="none" w:sz="0" w:space="0" w:color="auto" w:frame="1"/>
        </w:rPr>
        <w:t xml:space="preserve">a diretoria toma ciência do fechamento contábil mensal do balanço patrimonial e da demonstração do resultado até o período em reporte, bem como da realização orçamentária acumulada, até aquela data. Também consta do relatório um fluxo de caixa realizado e projetado, que dá visibilidade </w:t>
      </w:r>
      <w:r w:rsidR="002F1424">
        <w:rPr>
          <w:rStyle w:val="Hyperlink"/>
          <w:rFonts w:asciiTheme="minorHAnsi" w:hAnsiTheme="minorHAnsi" w:cstheme="minorHAnsi"/>
          <w:color w:val="0D0D0D"/>
          <w:sz w:val="22"/>
          <w:szCs w:val="22"/>
          <w:u w:val="none"/>
          <w:bdr w:val="none" w:sz="0" w:space="0" w:color="auto" w:frame="1"/>
        </w:rPr>
        <w:t>a</w:t>
      </w:r>
      <w:r w:rsidRPr="00722DDC">
        <w:rPr>
          <w:rStyle w:val="Hyperlink"/>
          <w:rFonts w:asciiTheme="minorHAnsi" w:hAnsiTheme="minorHAnsi" w:cstheme="minorHAnsi"/>
          <w:color w:val="0D0D0D"/>
          <w:sz w:val="22"/>
          <w:szCs w:val="22"/>
          <w:u w:val="none"/>
          <w:bdr w:val="none" w:sz="0" w:space="0" w:color="auto" w:frame="1"/>
        </w:rPr>
        <w:t>os recursos financeiros ao longo do tempo. Por fim, é apresentada a regularidade fiscal da empresa perante os órgãos federais, estaduais e municipais.</w:t>
      </w:r>
    </w:p>
    <w:p w14:paraId="76F20BB8" w14:textId="77777777" w:rsidR="003A6AE9" w:rsidRPr="00722DDC" w:rsidRDefault="003A6AE9"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highlight w:val="yellow"/>
          <w:u w:val="none"/>
          <w:bdr w:val="none" w:sz="0" w:space="0" w:color="auto" w:frame="1"/>
        </w:rPr>
      </w:pPr>
    </w:p>
    <w:p w14:paraId="3EB883CF" w14:textId="77777777" w:rsidR="003A6AE9" w:rsidRPr="00722DDC" w:rsidRDefault="003A6AE9" w:rsidP="00722DDC">
      <w:pPr>
        <w:pStyle w:val="Default"/>
        <w:jc w:val="both"/>
        <w:rPr>
          <w:rFonts w:asciiTheme="minorHAnsi" w:hAnsiTheme="minorHAnsi" w:cstheme="minorHAnsi"/>
          <w:color w:val="008192"/>
          <w:sz w:val="22"/>
          <w:szCs w:val="22"/>
        </w:rPr>
      </w:pPr>
      <w:r w:rsidRPr="00722DDC">
        <w:rPr>
          <w:rFonts w:asciiTheme="minorHAnsi" w:hAnsiTheme="minorHAnsi" w:cstheme="minorHAnsi"/>
          <w:color w:val="008192"/>
          <w:sz w:val="22"/>
          <w:szCs w:val="22"/>
        </w:rPr>
        <w:t>Auditoria Interna</w:t>
      </w:r>
    </w:p>
    <w:p w14:paraId="1E33E97F" w14:textId="77777777" w:rsidR="005623AB" w:rsidRPr="00722DDC" w:rsidRDefault="005623AB" w:rsidP="00722DDC">
      <w:pPr>
        <w:pStyle w:val="Default"/>
        <w:jc w:val="both"/>
        <w:rPr>
          <w:rFonts w:asciiTheme="minorHAnsi" w:hAnsiTheme="minorHAnsi" w:cstheme="minorHAnsi"/>
          <w:color w:val="000000" w:themeColor="text1"/>
          <w:sz w:val="22"/>
          <w:szCs w:val="22"/>
        </w:rPr>
      </w:pPr>
    </w:p>
    <w:p w14:paraId="47A580AE" w14:textId="5B89DB86" w:rsidR="003A6AE9" w:rsidRPr="00722DDC" w:rsidRDefault="003A6AE9" w:rsidP="00722DDC">
      <w:pPr>
        <w:pStyle w:val="Default"/>
        <w:jc w:val="both"/>
        <w:rPr>
          <w:rStyle w:val="Hyperlink"/>
          <w:rFonts w:asciiTheme="minorHAnsi" w:hAnsiTheme="minorHAnsi" w:cstheme="minorHAnsi"/>
          <w:color w:val="0D0D0D"/>
          <w:sz w:val="22"/>
          <w:szCs w:val="22"/>
          <w:u w:val="none"/>
          <w:bdr w:val="none" w:sz="0" w:space="0" w:color="auto" w:frame="1"/>
        </w:rPr>
      </w:pPr>
      <w:r w:rsidRPr="00722DDC">
        <w:rPr>
          <w:rFonts w:asciiTheme="minorHAnsi" w:hAnsiTheme="minorHAnsi" w:cstheme="minorHAnsi"/>
          <w:color w:val="000000" w:themeColor="text1"/>
          <w:sz w:val="22"/>
          <w:szCs w:val="22"/>
        </w:rPr>
        <w:t>A Auditoria Interna é</w:t>
      </w:r>
      <w:r w:rsidRPr="00722DDC">
        <w:rPr>
          <w:rStyle w:val="Hyperlink"/>
          <w:rFonts w:asciiTheme="minorHAnsi" w:hAnsiTheme="minorHAnsi" w:cstheme="minorHAnsi"/>
          <w:color w:val="000000" w:themeColor="text1"/>
          <w:sz w:val="22"/>
          <w:szCs w:val="22"/>
          <w:u w:val="none"/>
          <w:bdr w:val="none" w:sz="0" w:space="0" w:color="auto" w:frame="1"/>
        </w:rPr>
        <w:t xml:space="preserve"> uma atividade independente e objetiva de avaliação e consultoria, orientada por uma filosofia de agregar valor </w:t>
      </w:r>
      <w:r w:rsidR="00C8265D">
        <w:rPr>
          <w:rStyle w:val="Hyperlink"/>
          <w:rFonts w:asciiTheme="minorHAnsi" w:hAnsiTheme="minorHAnsi" w:cstheme="minorHAnsi"/>
          <w:color w:val="0D0D0D"/>
          <w:sz w:val="22"/>
          <w:szCs w:val="22"/>
          <w:u w:val="none"/>
          <w:bdr w:val="none" w:sz="0" w:space="0" w:color="auto" w:frame="1"/>
        </w:rPr>
        <w:t>ao</w:t>
      </w:r>
      <w:r w:rsidR="00C8265D" w:rsidRPr="00722DDC">
        <w:rPr>
          <w:rStyle w:val="Hyperlink"/>
          <w:rFonts w:asciiTheme="minorHAnsi" w:hAnsiTheme="minorHAnsi" w:cstheme="minorHAnsi"/>
          <w:color w:val="0D0D0D"/>
          <w:sz w:val="22"/>
          <w:szCs w:val="22"/>
          <w:u w:val="none"/>
          <w:bdr w:val="none" w:sz="0" w:space="0" w:color="auto" w:frame="1"/>
        </w:rPr>
        <w:t xml:space="preserve"> </w:t>
      </w:r>
      <w:r w:rsidRPr="00722DDC">
        <w:rPr>
          <w:rStyle w:val="Hyperlink"/>
          <w:rFonts w:asciiTheme="minorHAnsi" w:hAnsiTheme="minorHAnsi" w:cstheme="minorHAnsi"/>
          <w:color w:val="0D0D0D"/>
          <w:sz w:val="22"/>
          <w:szCs w:val="22"/>
          <w:u w:val="none"/>
          <w:bdr w:val="none" w:sz="0" w:space="0" w:color="auto" w:frame="1"/>
        </w:rPr>
        <w:t xml:space="preserve">melhorar as operações da organização. Ela auxilia a empresa a alcançar seus objetivos, trazendo uma abordagem sistemática e disciplinada para avaliar e melhorar a eficácia dos processos de gerenciamento de riscos, controle e governança. </w:t>
      </w:r>
    </w:p>
    <w:p w14:paraId="33465CF1" w14:textId="2DF58A8A" w:rsidR="003A6AE9" w:rsidRPr="00722DDC" w:rsidRDefault="003A6AE9" w:rsidP="00722DDC">
      <w:pPr>
        <w:pStyle w:val="NormalWeb"/>
        <w:shd w:val="clear" w:color="auto" w:fill="FFFFFF"/>
        <w:spacing w:after="0" w:line="276" w:lineRule="auto"/>
        <w:jc w:val="both"/>
        <w:rPr>
          <w:rStyle w:val="Hyperlink"/>
          <w:rFonts w:asciiTheme="minorHAnsi" w:eastAsiaTheme="minorHAnsi" w:hAnsiTheme="minorHAnsi" w:cstheme="minorHAnsi"/>
          <w:color w:val="0D0D0D"/>
          <w:sz w:val="22"/>
          <w:szCs w:val="22"/>
          <w:u w:val="none"/>
          <w:bdr w:val="none" w:sz="0" w:space="0" w:color="auto" w:frame="1"/>
          <w:lang w:eastAsia="en-US"/>
        </w:rPr>
      </w:pPr>
      <w:r w:rsidRPr="00722DDC">
        <w:rPr>
          <w:rStyle w:val="Hyperlink"/>
          <w:rFonts w:asciiTheme="minorHAnsi" w:hAnsiTheme="minorHAnsi" w:cstheme="minorHAnsi"/>
          <w:color w:val="0D0D0D"/>
          <w:sz w:val="22"/>
          <w:szCs w:val="22"/>
          <w:u w:val="none"/>
          <w:bdr w:val="none" w:sz="0" w:space="0" w:color="auto" w:frame="1"/>
        </w:rPr>
        <w:lastRenderedPageBreak/>
        <w:t>Essa área trabalha para fortalecer e assessorar a gestão, bem como para desenvolver ações preventivas e prestar apoio, dentro de suas especificidades, no âmbito da empresa, no sentido de contribuir para a garantia da legalidade, moralidade, impessoalidade e a probidade dos atos da administração. Quanto à vinculação, a Unidade de Auditoria Interna está subordinada ao Conselho de Administração, com o objetivo de proporcionar à unidade um posicionamento suficientemente elevado, que permita o desenvolvimento de suas atividades com mais autonomia e independência, de acordo com o § 3º, do art. 15, do Decreto n</w:t>
      </w:r>
      <w:r w:rsidR="00EF6164">
        <w:rPr>
          <w:rStyle w:val="Hyperlink"/>
          <w:rFonts w:asciiTheme="minorHAnsi" w:hAnsiTheme="minorHAnsi" w:cstheme="minorHAnsi"/>
          <w:color w:val="0D0D0D"/>
          <w:sz w:val="22"/>
          <w:szCs w:val="22"/>
          <w:u w:val="none"/>
          <w:bdr w:val="none" w:sz="0" w:space="0" w:color="auto" w:frame="1"/>
        </w:rPr>
        <w:t>º</w:t>
      </w:r>
      <w:r w:rsidRPr="00722DDC">
        <w:rPr>
          <w:rStyle w:val="Hyperlink"/>
          <w:rFonts w:asciiTheme="minorHAnsi" w:hAnsiTheme="minorHAnsi" w:cstheme="minorHAnsi"/>
          <w:color w:val="0D0D0D"/>
          <w:sz w:val="22"/>
          <w:szCs w:val="22"/>
          <w:u w:val="none"/>
          <w:bdr w:val="none" w:sz="0" w:space="0" w:color="auto" w:frame="1"/>
        </w:rPr>
        <w:t xml:space="preserve"> 3.591/2000.</w:t>
      </w:r>
    </w:p>
    <w:p w14:paraId="62B82232" w14:textId="3FD0912C" w:rsidR="00387C98" w:rsidRPr="00722DDC" w:rsidRDefault="00387C98" w:rsidP="00722DDC">
      <w:pPr>
        <w:pStyle w:val="Default"/>
        <w:jc w:val="both"/>
        <w:rPr>
          <w:rFonts w:asciiTheme="minorHAnsi" w:hAnsiTheme="minorHAnsi" w:cstheme="minorHAnsi"/>
          <w:color w:val="008192"/>
          <w:sz w:val="22"/>
          <w:szCs w:val="22"/>
        </w:rPr>
      </w:pPr>
      <w:r w:rsidRPr="009C262E">
        <w:rPr>
          <w:rFonts w:asciiTheme="minorHAnsi" w:hAnsiTheme="minorHAnsi" w:cstheme="minorHAnsi"/>
          <w:color w:val="008192"/>
          <w:sz w:val="22"/>
          <w:szCs w:val="22"/>
        </w:rPr>
        <w:t xml:space="preserve">Gestão dos </w:t>
      </w:r>
      <w:r w:rsidR="009C262E" w:rsidRPr="009C262E">
        <w:rPr>
          <w:rFonts w:asciiTheme="minorHAnsi" w:hAnsiTheme="minorHAnsi" w:cstheme="minorHAnsi"/>
          <w:color w:val="008192"/>
          <w:sz w:val="22"/>
          <w:szCs w:val="22"/>
        </w:rPr>
        <w:t>r</w:t>
      </w:r>
      <w:r w:rsidRPr="00C00AE5">
        <w:rPr>
          <w:rFonts w:asciiTheme="minorHAnsi" w:hAnsiTheme="minorHAnsi" w:cstheme="minorHAnsi"/>
          <w:color w:val="008192"/>
          <w:sz w:val="22"/>
          <w:szCs w:val="22"/>
        </w:rPr>
        <w:t>iscos</w:t>
      </w:r>
    </w:p>
    <w:p w14:paraId="787CC61F" w14:textId="1A9A625A" w:rsidR="00387C98" w:rsidRPr="00722DDC" w:rsidRDefault="00387C98" w:rsidP="00722DDC">
      <w:pPr>
        <w:pStyle w:val="NormalWeb"/>
        <w:shd w:val="clear" w:color="auto" w:fill="FFFFFF"/>
        <w:spacing w:after="0" w:line="276" w:lineRule="auto"/>
        <w:jc w:val="both"/>
        <w:rPr>
          <w:rStyle w:val="Hyperlink"/>
          <w:rFonts w:asciiTheme="minorHAnsi" w:eastAsiaTheme="minorHAnsi" w:hAnsiTheme="minorHAnsi" w:cstheme="minorHAnsi"/>
          <w:color w:val="0D0D0D"/>
          <w:sz w:val="22"/>
          <w:szCs w:val="22"/>
          <w:u w:val="none"/>
          <w:bdr w:val="none" w:sz="0" w:space="0" w:color="auto" w:frame="1"/>
          <w:lang w:eastAsia="en-US"/>
        </w:rPr>
      </w:pPr>
      <w:r w:rsidRPr="00722DDC">
        <w:rPr>
          <w:rStyle w:val="Hyperlink"/>
          <w:rFonts w:asciiTheme="minorHAnsi" w:hAnsiTheme="minorHAnsi" w:cstheme="minorHAnsi"/>
          <w:color w:val="0D0D0D"/>
          <w:sz w:val="22"/>
          <w:szCs w:val="22"/>
          <w:u w:val="none"/>
          <w:bdr w:val="none" w:sz="0" w:space="0" w:color="auto" w:frame="1"/>
        </w:rPr>
        <w:t>A gestão dos riscos é monitorada pela equipe d</w:t>
      </w:r>
      <w:r w:rsidR="00EF6164">
        <w:rPr>
          <w:rStyle w:val="Hyperlink"/>
          <w:rFonts w:asciiTheme="minorHAnsi" w:hAnsiTheme="minorHAnsi" w:cstheme="minorHAnsi"/>
          <w:color w:val="0D0D0D"/>
          <w:sz w:val="22"/>
          <w:szCs w:val="22"/>
          <w:u w:val="none"/>
          <w:bdr w:val="none" w:sz="0" w:space="0" w:color="auto" w:frame="1"/>
        </w:rPr>
        <w:t>o</w:t>
      </w:r>
      <w:r w:rsidRPr="00722DDC">
        <w:rPr>
          <w:rStyle w:val="Hyperlink"/>
          <w:rFonts w:asciiTheme="minorHAnsi" w:hAnsiTheme="minorHAnsi" w:cstheme="minorHAnsi"/>
          <w:color w:val="0D0D0D"/>
          <w:sz w:val="22"/>
          <w:szCs w:val="22"/>
          <w:u w:val="none"/>
          <w:bdr w:val="none" w:sz="0" w:space="0" w:color="auto" w:frame="1"/>
        </w:rPr>
        <w:t xml:space="preserve"> Planejamento Estratégico da empresa </w:t>
      </w:r>
      <w:r w:rsidRPr="00722DDC">
        <w:rPr>
          <w:rFonts w:asciiTheme="minorHAnsi" w:hAnsiTheme="minorHAnsi" w:cstheme="minorHAnsi"/>
          <w:color w:val="0D0D0D" w:themeColor="text1" w:themeTint="F2"/>
          <w:sz w:val="22"/>
          <w:szCs w:val="22"/>
        </w:rPr>
        <w:t>e vem sendo aprimorad</w:t>
      </w:r>
      <w:r w:rsidR="00EF6164">
        <w:rPr>
          <w:rFonts w:asciiTheme="minorHAnsi" w:hAnsiTheme="minorHAnsi" w:cstheme="minorHAnsi"/>
          <w:color w:val="0D0D0D" w:themeColor="text1" w:themeTint="F2"/>
          <w:sz w:val="22"/>
          <w:szCs w:val="22"/>
        </w:rPr>
        <w:t>a</w:t>
      </w:r>
      <w:r w:rsidRPr="00722DDC">
        <w:rPr>
          <w:rFonts w:asciiTheme="minorHAnsi" w:hAnsiTheme="minorHAnsi" w:cstheme="minorHAnsi"/>
          <w:color w:val="0D0D0D" w:themeColor="text1" w:themeTint="F2"/>
          <w:sz w:val="22"/>
          <w:szCs w:val="22"/>
        </w:rPr>
        <w:t xml:space="preserve"> ao longo dos anos.</w:t>
      </w:r>
      <w:r w:rsidRPr="00722DDC">
        <w:rPr>
          <w:rStyle w:val="Hyperlink"/>
          <w:rFonts w:asciiTheme="minorHAnsi" w:hAnsiTheme="minorHAnsi" w:cstheme="minorHAnsi"/>
          <w:color w:val="0D0D0D"/>
          <w:sz w:val="22"/>
          <w:szCs w:val="22"/>
          <w:u w:val="none"/>
          <w:bdr w:val="none" w:sz="0" w:space="0" w:color="auto" w:frame="1"/>
        </w:rPr>
        <w:t xml:space="preserve"> Para a implantação do Ciclo de Gerenciamento de Riscos, a </w:t>
      </w:r>
      <w:r w:rsidR="00EF6164">
        <w:rPr>
          <w:rStyle w:val="Hyperlink"/>
          <w:rFonts w:asciiTheme="minorHAnsi" w:hAnsiTheme="minorHAnsi" w:cstheme="minorHAnsi"/>
          <w:color w:val="0D0D0D"/>
          <w:sz w:val="22"/>
          <w:szCs w:val="22"/>
          <w:u w:val="none"/>
          <w:bdr w:val="none" w:sz="0" w:space="0" w:color="auto" w:frame="1"/>
        </w:rPr>
        <w:t>PPSA</w:t>
      </w:r>
      <w:r w:rsidRPr="00722DDC">
        <w:rPr>
          <w:rStyle w:val="Hyperlink"/>
          <w:rFonts w:asciiTheme="minorHAnsi" w:hAnsiTheme="minorHAnsi" w:cstheme="minorHAnsi"/>
          <w:color w:val="0D0D0D"/>
          <w:sz w:val="22"/>
          <w:szCs w:val="22"/>
          <w:u w:val="none"/>
          <w:bdr w:val="none" w:sz="0" w:space="0" w:color="auto" w:frame="1"/>
        </w:rPr>
        <w:t xml:space="preserve"> forma, anualmente, um grupo de trabalho multidisciplinar. O diretor-presidente e demais diretores participam das etapas de validação do método, do cronograma, do entendimento do contexto, dos riscos priorizados e do plano de respostas, além da aprovação do Relatório Final de Gerenciamento de Riscos.</w:t>
      </w:r>
    </w:p>
    <w:p w14:paraId="65C98B12" w14:textId="77777777" w:rsidR="00387C98" w:rsidRPr="00722DDC" w:rsidRDefault="00387C98" w:rsidP="00722DDC">
      <w:pPr>
        <w:pStyle w:val="NormalWeb"/>
        <w:shd w:val="clear" w:color="auto" w:fill="FFFFFF"/>
        <w:spacing w:after="0" w:line="276" w:lineRule="auto"/>
        <w:jc w:val="both"/>
        <w:rPr>
          <w:rStyle w:val="Hyperlink"/>
          <w:rFonts w:asciiTheme="minorHAnsi" w:eastAsiaTheme="minorHAnsi" w:hAnsiTheme="minorHAnsi" w:cstheme="minorHAnsi"/>
          <w:color w:val="0D0D0D"/>
          <w:sz w:val="22"/>
          <w:szCs w:val="22"/>
          <w:highlight w:val="yellow"/>
          <w:u w:val="none"/>
          <w:bdr w:val="none" w:sz="0" w:space="0" w:color="auto" w:frame="1"/>
          <w:lang w:eastAsia="en-US"/>
        </w:rPr>
      </w:pPr>
      <w:r w:rsidRPr="00722DDC">
        <w:rPr>
          <w:rStyle w:val="Hyperlink"/>
          <w:rFonts w:asciiTheme="minorHAnsi" w:hAnsiTheme="minorHAnsi" w:cstheme="minorHAnsi"/>
          <w:color w:val="0D0D0D"/>
          <w:sz w:val="22"/>
          <w:szCs w:val="22"/>
          <w:u w:val="none"/>
          <w:bdr w:val="none" w:sz="0" w:space="0" w:color="auto" w:frame="1"/>
        </w:rPr>
        <w:t xml:space="preserve">O relatório final é aprovado pela Diretoria Executiva e pelo Conselho de Administração. O Comitê de </w:t>
      </w:r>
      <w:r w:rsidRPr="009C262E">
        <w:rPr>
          <w:rStyle w:val="Hyperlink"/>
          <w:rFonts w:asciiTheme="minorHAnsi" w:hAnsiTheme="minorHAnsi" w:cstheme="minorHAnsi"/>
          <w:color w:val="0D0D0D"/>
          <w:sz w:val="22"/>
          <w:szCs w:val="22"/>
          <w:u w:val="none"/>
          <w:bdr w:val="none" w:sz="0" w:space="0" w:color="auto" w:frame="1"/>
        </w:rPr>
        <w:t>Auditoria estatutária acompanha, no mínimo trimestralmente, o posicionamento dos riscos na Matriz de Probab</w:t>
      </w:r>
      <w:r w:rsidRPr="00C00AE5">
        <w:rPr>
          <w:rStyle w:val="Hyperlink"/>
          <w:rFonts w:asciiTheme="minorHAnsi" w:hAnsiTheme="minorHAnsi" w:cstheme="minorHAnsi"/>
          <w:color w:val="0D0D0D"/>
          <w:sz w:val="22"/>
          <w:szCs w:val="22"/>
          <w:u w:val="none"/>
          <w:bdr w:val="none" w:sz="0" w:space="0" w:color="auto" w:frame="1"/>
        </w:rPr>
        <w:t>ilidades e Impactos</w:t>
      </w:r>
      <w:r w:rsidRPr="00722DDC">
        <w:rPr>
          <w:rStyle w:val="Hyperlink"/>
          <w:rFonts w:asciiTheme="minorHAnsi" w:hAnsiTheme="minorHAnsi" w:cstheme="minorHAnsi"/>
          <w:color w:val="0D0D0D"/>
          <w:sz w:val="22"/>
          <w:szCs w:val="22"/>
          <w:u w:val="none"/>
          <w:bdr w:val="none" w:sz="0" w:space="0" w:color="auto" w:frame="1"/>
        </w:rPr>
        <w:t xml:space="preserve">, e o status dos riscos. As ações do Plano de Ação para Tratamento dos Riscos são monitoradas mensalmente pelo Planejamento Estratégico junto às áreas responsáveis pelas ações pertinentes. Um status do andamento das ações é apresentado aos diretores, trimestralmente, na reunião de análise crítica do Planejamento Estratégico. </w:t>
      </w:r>
    </w:p>
    <w:p w14:paraId="6D9A258D" w14:textId="67FCED5B" w:rsidR="00387C98" w:rsidRPr="00722DDC" w:rsidRDefault="00387C98" w:rsidP="00722DDC">
      <w:pPr>
        <w:spacing w:line="276" w:lineRule="auto"/>
        <w:jc w:val="both"/>
        <w:rPr>
          <w:rFonts w:eastAsia="Times New Roman" w:cstheme="minorHAnsi"/>
          <w:color w:val="0D0D0D" w:themeColor="text1" w:themeTint="F2"/>
        </w:rPr>
      </w:pPr>
      <w:r w:rsidRPr="00722DDC">
        <w:rPr>
          <w:rFonts w:cstheme="minorHAnsi"/>
          <w:color w:val="0D0D0D" w:themeColor="text1" w:themeTint="F2"/>
        </w:rPr>
        <w:t>A atuação da companhia frente aos riscos e a proatividade em mitigá-los visam à redução de implicações negativas para o modelo de negócio e para o desempenho futuro da empresa.</w:t>
      </w:r>
      <w:r w:rsidRPr="00722DDC">
        <w:rPr>
          <w:rFonts w:eastAsia="Times New Roman" w:cstheme="minorHAnsi"/>
          <w:color w:val="0D0D0D" w:themeColor="text1" w:themeTint="F2"/>
        </w:rPr>
        <w:t xml:space="preserve"> O trabalho</w:t>
      </w:r>
      <w:r w:rsidR="003A6AE9" w:rsidRPr="00722DDC">
        <w:rPr>
          <w:rFonts w:eastAsia="Times New Roman" w:cstheme="minorHAnsi"/>
          <w:color w:val="0D0D0D" w:themeColor="text1" w:themeTint="F2"/>
        </w:rPr>
        <w:t xml:space="preserve"> </w:t>
      </w:r>
      <w:r w:rsidRPr="00722DDC">
        <w:rPr>
          <w:rFonts w:eastAsia="Times New Roman" w:cstheme="minorHAnsi"/>
          <w:color w:val="0D0D0D" w:themeColor="text1" w:themeTint="F2"/>
        </w:rPr>
        <w:t xml:space="preserve">consiste em seis etapas: entendimento do contexto, identificação de riscos, análise de riscos, avaliação de riscos, priorização de respostas e definição de respostas.  </w:t>
      </w:r>
    </w:p>
    <w:p w14:paraId="4D9F8802" w14:textId="77777777" w:rsidR="00387C98" w:rsidRPr="00722DDC" w:rsidRDefault="00387C98" w:rsidP="00722DDC">
      <w:pPr>
        <w:spacing w:line="276" w:lineRule="auto"/>
        <w:jc w:val="both"/>
        <w:rPr>
          <w:rFonts w:eastAsia="Times New Roman" w:cstheme="minorHAnsi"/>
          <w:color w:val="0D0D0D" w:themeColor="text1" w:themeTint="F2"/>
        </w:rPr>
      </w:pPr>
    </w:p>
    <w:p w14:paraId="7C31A33E" w14:textId="77777777" w:rsidR="00387C98" w:rsidRPr="00722DDC" w:rsidRDefault="00387C98" w:rsidP="00722DDC">
      <w:pPr>
        <w:spacing w:line="276" w:lineRule="auto"/>
        <w:jc w:val="both"/>
        <w:rPr>
          <w:rFonts w:eastAsia="Times New Roman" w:cstheme="minorHAnsi"/>
          <w:color w:val="0D0D0D" w:themeColor="text1" w:themeTint="F2"/>
        </w:rPr>
      </w:pPr>
      <w:r w:rsidRPr="00722DDC">
        <w:rPr>
          <w:rFonts w:cstheme="minorHAnsi"/>
          <w:noProof/>
        </w:rPr>
        <w:lastRenderedPageBreak/>
        <w:t xml:space="preserve"> </w:t>
      </w:r>
      <w:r w:rsidRPr="00722DDC">
        <w:rPr>
          <w:rFonts w:cstheme="minorHAnsi"/>
          <w:noProof/>
          <w:lang w:eastAsia="pt-BR"/>
        </w:rPr>
        <w:drawing>
          <wp:inline distT="0" distB="0" distL="0" distR="0" wp14:anchorId="235DD7CB" wp14:editId="622C55A5">
            <wp:extent cx="4962525" cy="37433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2525" cy="3743325"/>
                    </a:xfrm>
                    <a:prstGeom prst="rect">
                      <a:avLst/>
                    </a:prstGeom>
                  </pic:spPr>
                </pic:pic>
              </a:graphicData>
            </a:graphic>
          </wp:inline>
        </w:drawing>
      </w:r>
    </w:p>
    <w:p w14:paraId="17507EA8" w14:textId="77828576" w:rsidR="00387C98" w:rsidRPr="00722DDC" w:rsidRDefault="00387C98" w:rsidP="00722DDC">
      <w:pPr>
        <w:spacing w:line="276" w:lineRule="auto"/>
        <w:jc w:val="both"/>
        <w:rPr>
          <w:rFonts w:cstheme="minorHAnsi"/>
          <w:color w:val="0D0D0D" w:themeColor="text1" w:themeTint="F2"/>
        </w:rPr>
      </w:pPr>
      <w:r w:rsidRPr="00722DDC">
        <w:rPr>
          <w:rFonts w:eastAsia="Times New Roman" w:cstheme="minorHAnsi"/>
          <w:color w:val="000000" w:themeColor="text1"/>
        </w:rPr>
        <w:t xml:space="preserve">Para a etapa do entendimento do contexto, são considerados </w:t>
      </w:r>
      <w:r w:rsidR="00EF6164">
        <w:rPr>
          <w:rFonts w:eastAsia="Times New Roman" w:cstheme="minorHAnsi"/>
          <w:color w:val="000000" w:themeColor="text1"/>
        </w:rPr>
        <w:t xml:space="preserve">os </w:t>
      </w:r>
      <w:r w:rsidRPr="00722DDC">
        <w:rPr>
          <w:rFonts w:eastAsia="Times New Roman" w:cstheme="minorHAnsi"/>
          <w:color w:val="000000" w:themeColor="text1"/>
        </w:rPr>
        <w:t xml:space="preserve">fatores externos e internos que afetam a atividade, bem como a necessidade de cumprimento das atribuições legais. Em seguida, identificamos </w:t>
      </w:r>
      <w:r w:rsidRPr="00722DDC">
        <w:rPr>
          <w:rFonts w:cstheme="minorHAnsi"/>
          <w:color w:val="000000" w:themeColor="text1"/>
        </w:rPr>
        <w:t xml:space="preserve">os principais riscos que afetam a capacidade da organização de gerar valor em curto, médio e longo prazos, e que podem impactar os objetivos estratégicos da empresa. Esses riscos são, então, relacionados à estruturação e crescimento da companhia, à sustentabilidade financeira de longo prazo da PPSA, ao processo de comercialização de óleo e gás, </w:t>
      </w:r>
      <w:r w:rsidR="00C8265D">
        <w:rPr>
          <w:rFonts w:cstheme="minorHAnsi"/>
          <w:color w:val="000000" w:themeColor="text1"/>
        </w:rPr>
        <w:t xml:space="preserve">à integridade </w:t>
      </w:r>
      <w:r w:rsidRPr="00722DDC">
        <w:rPr>
          <w:rFonts w:cstheme="minorHAnsi"/>
          <w:color w:val="000000" w:themeColor="text1"/>
        </w:rPr>
        <w:t xml:space="preserve">à segurança da informação, à gestão dos contratos de partilha e à representação da União nos </w:t>
      </w:r>
      <w:proofErr w:type="spellStart"/>
      <w:r w:rsidRPr="00722DDC">
        <w:rPr>
          <w:rFonts w:cstheme="minorHAnsi"/>
          <w:color w:val="000000" w:themeColor="text1"/>
        </w:rPr>
        <w:t>AIPs</w:t>
      </w:r>
      <w:proofErr w:type="spellEnd"/>
      <w:r w:rsidRPr="00722DDC">
        <w:rPr>
          <w:rFonts w:cstheme="minorHAnsi"/>
          <w:color w:val="000000" w:themeColor="text1"/>
        </w:rPr>
        <w:t>.</w:t>
      </w:r>
    </w:p>
    <w:p w14:paraId="0617B3B3" w14:textId="77777777" w:rsidR="00387C98" w:rsidRPr="00722DDC" w:rsidRDefault="00387C98" w:rsidP="00722DDC">
      <w:pPr>
        <w:spacing w:after="0" w:line="276" w:lineRule="auto"/>
        <w:jc w:val="both"/>
        <w:rPr>
          <w:rFonts w:eastAsia="Times New Roman" w:cstheme="minorHAnsi"/>
          <w:color w:val="0D0D0D" w:themeColor="text1" w:themeTint="F2"/>
        </w:rPr>
      </w:pPr>
    </w:p>
    <w:p w14:paraId="56558423" w14:textId="5A64AAD6" w:rsidR="00387C98" w:rsidRPr="00722DDC" w:rsidRDefault="00387C98" w:rsidP="00722DDC">
      <w:pPr>
        <w:spacing w:line="276" w:lineRule="auto"/>
        <w:jc w:val="both"/>
        <w:rPr>
          <w:rFonts w:eastAsia="Times New Roman" w:cstheme="minorHAnsi"/>
          <w:color w:val="0D0D0D" w:themeColor="text1" w:themeTint="F2"/>
        </w:rPr>
      </w:pPr>
      <w:r w:rsidRPr="00722DDC">
        <w:rPr>
          <w:rFonts w:eastAsia="Times New Roman" w:cstheme="minorHAnsi"/>
          <w:color w:val="0D0D0D" w:themeColor="text1" w:themeTint="F2"/>
        </w:rPr>
        <w:t xml:space="preserve">Os riscos aos quais </w:t>
      </w:r>
      <w:r w:rsidR="00F86A75" w:rsidRPr="00722DDC">
        <w:rPr>
          <w:rFonts w:eastAsia="Times New Roman" w:cstheme="minorHAnsi"/>
          <w:color w:val="0D0D0D" w:themeColor="text1" w:themeTint="F2"/>
        </w:rPr>
        <w:t>a empresa está exposta</w:t>
      </w:r>
      <w:r w:rsidRPr="00722DDC">
        <w:rPr>
          <w:rFonts w:eastAsia="Times New Roman" w:cstheme="minorHAnsi"/>
          <w:color w:val="0D0D0D" w:themeColor="text1" w:themeTint="F2"/>
        </w:rPr>
        <w:t xml:space="preserve"> são classificados nos seguintes grupamentos: legais, de imagem, operacionais, financeiros, conjunturais e de integridade. </w:t>
      </w:r>
    </w:p>
    <w:p w14:paraId="29BB0FB4" w14:textId="77777777" w:rsidR="00387C98" w:rsidRPr="00722DDC" w:rsidRDefault="00387C98" w:rsidP="00722DDC">
      <w:pPr>
        <w:numPr>
          <w:ilvl w:val="0"/>
          <w:numId w:val="25"/>
        </w:numPr>
        <w:spacing w:line="276" w:lineRule="auto"/>
        <w:jc w:val="both"/>
        <w:rPr>
          <w:rFonts w:cstheme="minorHAnsi"/>
          <w:bCs/>
          <w:color w:val="0D0D0D" w:themeColor="text1" w:themeTint="F2"/>
        </w:rPr>
      </w:pPr>
      <w:r w:rsidRPr="00722DDC">
        <w:rPr>
          <w:rFonts w:cstheme="minorHAnsi"/>
          <w:bCs/>
          <w:color w:val="0D0D0D" w:themeColor="text1" w:themeTint="F2"/>
        </w:rPr>
        <w:t>Riscos Legais: decisão desfavorável em processos judiciais, multas, penalidades ou indenizações resultantes de ações de órgãos de supervisão e controle.</w:t>
      </w:r>
    </w:p>
    <w:p w14:paraId="08562FD4" w14:textId="77777777" w:rsidR="00387C98" w:rsidRPr="00722DDC" w:rsidRDefault="00387C98" w:rsidP="00722DDC">
      <w:pPr>
        <w:numPr>
          <w:ilvl w:val="0"/>
          <w:numId w:val="25"/>
        </w:numPr>
        <w:spacing w:line="240" w:lineRule="auto"/>
        <w:jc w:val="both"/>
        <w:rPr>
          <w:rFonts w:cstheme="minorHAnsi"/>
          <w:bCs/>
          <w:color w:val="0D0D0D" w:themeColor="text1" w:themeTint="F2"/>
        </w:rPr>
      </w:pPr>
      <w:r w:rsidRPr="00722DDC">
        <w:rPr>
          <w:rFonts w:cstheme="minorHAnsi"/>
          <w:bCs/>
          <w:color w:val="0D0D0D" w:themeColor="text1" w:themeTint="F2"/>
        </w:rPr>
        <w:t>Riscos de Imagem: desgaste do nome da instituição perante o mercado, a sociedade e as autoridades.</w:t>
      </w:r>
    </w:p>
    <w:p w14:paraId="6D759DC5" w14:textId="77777777" w:rsidR="00387C98" w:rsidRPr="00722DDC" w:rsidRDefault="00387C98" w:rsidP="00722DDC">
      <w:pPr>
        <w:numPr>
          <w:ilvl w:val="0"/>
          <w:numId w:val="25"/>
        </w:numPr>
        <w:spacing w:line="240" w:lineRule="auto"/>
        <w:jc w:val="both"/>
        <w:rPr>
          <w:rFonts w:cstheme="minorHAnsi"/>
          <w:bCs/>
          <w:color w:val="0D0D0D" w:themeColor="text1" w:themeTint="F2"/>
        </w:rPr>
      </w:pPr>
      <w:r w:rsidRPr="00722DDC">
        <w:rPr>
          <w:rFonts w:cstheme="minorHAnsi"/>
          <w:bCs/>
          <w:color w:val="0D0D0D" w:themeColor="text1" w:themeTint="F2"/>
        </w:rPr>
        <w:t xml:space="preserve">Riscos Operacionais: falhas, deficiências ou inadequações de processos internos envolvendo pessoas, sistemas e eventos, inclusive externos. </w:t>
      </w:r>
    </w:p>
    <w:p w14:paraId="543292E4" w14:textId="77777777" w:rsidR="00387C98" w:rsidRPr="00722DDC" w:rsidRDefault="00387C98" w:rsidP="00722DDC">
      <w:pPr>
        <w:numPr>
          <w:ilvl w:val="0"/>
          <w:numId w:val="25"/>
        </w:numPr>
        <w:spacing w:line="240" w:lineRule="auto"/>
        <w:jc w:val="both"/>
        <w:rPr>
          <w:rFonts w:cstheme="minorHAnsi"/>
          <w:bCs/>
          <w:color w:val="0D0D0D" w:themeColor="text1" w:themeTint="F2"/>
        </w:rPr>
      </w:pPr>
      <w:r w:rsidRPr="00722DDC">
        <w:rPr>
          <w:rFonts w:cstheme="minorHAnsi"/>
          <w:bCs/>
          <w:color w:val="0D0D0D" w:themeColor="text1" w:themeTint="F2"/>
        </w:rPr>
        <w:t>Riscos Financeiros (de liquidez ou de crédito): risco de não honrar seus compromissos em tempo hábil ou risco de não recebimento de seus créditos.</w:t>
      </w:r>
    </w:p>
    <w:p w14:paraId="333A0647" w14:textId="77777777" w:rsidR="00387C98" w:rsidRPr="00722DDC" w:rsidRDefault="00387C98" w:rsidP="00722DDC">
      <w:pPr>
        <w:numPr>
          <w:ilvl w:val="0"/>
          <w:numId w:val="25"/>
        </w:numPr>
        <w:spacing w:line="240" w:lineRule="auto"/>
        <w:jc w:val="both"/>
        <w:rPr>
          <w:rFonts w:cstheme="minorHAnsi"/>
          <w:bCs/>
          <w:color w:val="0D0D0D" w:themeColor="text1" w:themeTint="F2"/>
        </w:rPr>
      </w:pPr>
      <w:r w:rsidRPr="00722DDC">
        <w:rPr>
          <w:rFonts w:cstheme="minorHAnsi"/>
          <w:bCs/>
          <w:color w:val="0D0D0D" w:themeColor="text1" w:themeTint="F2"/>
        </w:rPr>
        <w:t>Riscos Conjunturais: mudanças verificadas nas condições políticas, sociais e econômicas do Brasil ou de outros países.</w:t>
      </w:r>
    </w:p>
    <w:p w14:paraId="540F9647" w14:textId="77777777" w:rsidR="00387C98" w:rsidRPr="00722DDC" w:rsidRDefault="00387C98" w:rsidP="00722DDC">
      <w:pPr>
        <w:numPr>
          <w:ilvl w:val="0"/>
          <w:numId w:val="25"/>
        </w:numPr>
        <w:spacing w:line="240" w:lineRule="auto"/>
        <w:jc w:val="both"/>
        <w:rPr>
          <w:rFonts w:cstheme="minorHAnsi"/>
          <w:bCs/>
          <w:color w:val="0D0D0D" w:themeColor="text1" w:themeTint="F2"/>
        </w:rPr>
      </w:pPr>
      <w:r w:rsidRPr="00722DDC">
        <w:rPr>
          <w:rFonts w:cstheme="minorHAnsi"/>
          <w:bCs/>
          <w:color w:val="0D0D0D" w:themeColor="text1" w:themeTint="F2"/>
        </w:rPr>
        <w:t>Riscos de Integridade: eventos relacionados à corrupção, fraudes, irregularidades e/ou desvios éticos e de conduta que podem comprometer os valores e padrões preconizados pela empresa, e a realização de seus objetivos.</w:t>
      </w:r>
    </w:p>
    <w:p w14:paraId="7504FC61" w14:textId="77777777" w:rsidR="00387C98" w:rsidRPr="00722DDC" w:rsidRDefault="00387C98" w:rsidP="00722DDC">
      <w:pPr>
        <w:spacing w:after="0" w:line="276" w:lineRule="auto"/>
        <w:jc w:val="both"/>
        <w:rPr>
          <w:rFonts w:eastAsia="Times New Roman" w:cstheme="minorHAnsi"/>
          <w:color w:val="0D0D0D" w:themeColor="text1" w:themeTint="F2"/>
        </w:rPr>
      </w:pPr>
    </w:p>
    <w:p w14:paraId="1AD2F008" w14:textId="5261AA7E" w:rsidR="003A6AE9" w:rsidRDefault="003A6AE9" w:rsidP="00722DDC">
      <w:pPr>
        <w:pStyle w:val="Default"/>
        <w:jc w:val="both"/>
        <w:rPr>
          <w:rFonts w:asciiTheme="minorHAnsi" w:hAnsiTheme="minorHAnsi" w:cstheme="minorHAnsi"/>
          <w:color w:val="008192"/>
          <w:sz w:val="22"/>
          <w:szCs w:val="22"/>
        </w:rPr>
      </w:pPr>
      <w:r w:rsidRPr="00722DDC">
        <w:rPr>
          <w:rFonts w:asciiTheme="minorHAnsi" w:hAnsiTheme="minorHAnsi" w:cstheme="minorHAnsi"/>
          <w:color w:val="008192"/>
          <w:sz w:val="22"/>
          <w:szCs w:val="22"/>
        </w:rPr>
        <w:t xml:space="preserve">Fatores de </w:t>
      </w:r>
      <w:r w:rsidR="009C262E" w:rsidRPr="009C262E">
        <w:rPr>
          <w:rFonts w:asciiTheme="minorHAnsi" w:hAnsiTheme="minorHAnsi" w:cstheme="minorHAnsi"/>
          <w:color w:val="008192"/>
          <w:sz w:val="22"/>
          <w:szCs w:val="22"/>
        </w:rPr>
        <w:t>r</w:t>
      </w:r>
      <w:r w:rsidRPr="00C00AE5">
        <w:rPr>
          <w:rFonts w:asciiTheme="minorHAnsi" w:hAnsiTheme="minorHAnsi" w:cstheme="minorHAnsi"/>
          <w:color w:val="008192"/>
          <w:sz w:val="22"/>
          <w:szCs w:val="22"/>
        </w:rPr>
        <w:t xml:space="preserve">isco </w:t>
      </w:r>
    </w:p>
    <w:p w14:paraId="5E9BFC47" w14:textId="77777777" w:rsidR="009C262E" w:rsidRPr="009C262E" w:rsidRDefault="009C262E" w:rsidP="00722DDC">
      <w:pPr>
        <w:pStyle w:val="Default"/>
        <w:jc w:val="both"/>
        <w:rPr>
          <w:rFonts w:asciiTheme="minorHAnsi" w:hAnsiTheme="minorHAnsi" w:cstheme="minorHAnsi"/>
          <w:color w:val="008192"/>
          <w:sz w:val="22"/>
          <w:szCs w:val="22"/>
        </w:rPr>
      </w:pPr>
    </w:p>
    <w:p w14:paraId="5B53063B" w14:textId="44BEF489" w:rsidR="00387C98" w:rsidRDefault="00387C98" w:rsidP="00722DDC">
      <w:pPr>
        <w:spacing w:line="276" w:lineRule="auto"/>
        <w:jc w:val="both"/>
        <w:rPr>
          <w:rFonts w:cstheme="minorHAnsi"/>
          <w:color w:val="0D0D0D" w:themeColor="text1" w:themeTint="F2"/>
        </w:rPr>
      </w:pPr>
      <w:r w:rsidRPr="00C00AE5">
        <w:rPr>
          <w:rFonts w:cstheme="minorHAnsi"/>
          <w:color w:val="0D0D0D" w:themeColor="text1" w:themeTint="F2"/>
        </w:rPr>
        <w:t>Para cada um dos riscos identificados</w:t>
      </w:r>
      <w:r w:rsidRPr="00722DDC">
        <w:rPr>
          <w:rFonts w:cstheme="minorHAnsi"/>
          <w:color w:val="0D0D0D" w:themeColor="text1" w:themeTint="F2"/>
        </w:rPr>
        <w:t xml:space="preserve">, houve uma classificação quanto à sua probabilidade e ao seu impacto, resultando na exposição de cada risco, conforme mapeado na Matriz de Calor. Em 2019, </w:t>
      </w:r>
      <w:r w:rsidR="009F7F63" w:rsidRPr="00722DDC">
        <w:rPr>
          <w:rFonts w:cstheme="minorHAnsi"/>
          <w:color w:val="0D0D0D" w:themeColor="text1" w:themeTint="F2"/>
        </w:rPr>
        <w:t xml:space="preserve">foram considerados </w:t>
      </w:r>
      <w:r w:rsidRPr="00722DDC">
        <w:rPr>
          <w:rFonts w:cstheme="minorHAnsi"/>
          <w:color w:val="0D0D0D" w:themeColor="text1" w:themeTint="F2"/>
        </w:rPr>
        <w:t>dez riscos. Todos possuem um Plano de Mitigação acompanhado pelo processo de gerenciamento de riscos. É importante mencionar a interface da gestão de riscos com o Planejamento Estratégico. As iniciativas estratégicas são formuladas considerando os riscos e abordam ações de mitigação.</w:t>
      </w:r>
    </w:p>
    <w:p w14:paraId="752B151F" w14:textId="6D935D0A" w:rsidR="009F7F63" w:rsidRPr="00722DDC" w:rsidRDefault="00DE6977" w:rsidP="00DE6977">
      <w:pPr>
        <w:spacing w:line="276" w:lineRule="auto"/>
        <w:jc w:val="both"/>
        <w:rPr>
          <w:rFonts w:cstheme="minorHAnsi"/>
          <w:color w:val="0D0D0D" w:themeColor="text1" w:themeTint="F2"/>
        </w:rPr>
      </w:pPr>
      <w:r>
        <w:rPr>
          <w:noProof/>
        </w:rPr>
        <w:drawing>
          <wp:inline distT="0" distB="0" distL="0" distR="0" wp14:anchorId="02BA3BAB" wp14:editId="3943A0A7">
            <wp:extent cx="5267325" cy="429382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6164" cy="4301031"/>
                    </a:xfrm>
                    <a:prstGeom prst="rect">
                      <a:avLst/>
                    </a:prstGeom>
                  </pic:spPr>
                </pic:pic>
              </a:graphicData>
            </a:graphic>
          </wp:inline>
        </w:drawing>
      </w:r>
    </w:p>
    <w:p w14:paraId="4E0162D1" w14:textId="654707B6" w:rsidR="009F7F63" w:rsidRPr="00722DDC" w:rsidRDefault="009F7F63" w:rsidP="00722DDC">
      <w:pPr>
        <w:spacing w:line="276" w:lineRule="auto"/>
        <w:jc w:val="both"/>
        <w:rPr>
          <w:rFonts w:cstheme="minorHAnsi"/>
          <w:color w:val="0D0D0D" w:themeColor="text1" w:themeTint="F2"/>
        </w:rPr>
      </w:pPr>
      <w:r w:rsidRPr="00722DDC">
        <w:rPr>
          <w:rFonts w:cstheme="minorHAnsi"/>
          <w:color w:val="0D0D0D" w:themeColor="text1" w:themeTint="F2"/>
        </w:rPr>
        <w:t xml:space="preserve">Diante do que foi mapeado, verificou-se que as principais incertezas estão relacionadas à </w:t>
      </w:r>
      <w:r w:rsidR="00D44AD0">
        <w:rPr>
          <w:rFonts w:cstheme="minorHAnsi"/>
          <w:color w:val="0D0D0D" w:themeColor="text1" w:themeTint="F2"/>
        </w:rPr>
        <w:t xml:space="preserve">obtenção </w:t>
      </w:r>
      <w:r w:rsidRPr="00722DDC">
        <w:rPr>
          <w:rFonts w:cstheme="minorHAnsi"/>
          <w:color w:val="0D0D0D" w:themeColor="text1" w:themeTint="F2"/>
        </w:rPr>
        <w:t>de recursos humanos; à sustentabilidade financeira de longo prazo da companhia</w:t>
      </w:r>
      <w:r w:rsidR="004C118E">
        <w:rPr>
          <w:rFonts w:cstheme="minorHAnsi"/>
          <w:color w:val="0D0D0D" w:themeColor="text1" w:themeTint="F2"/>
        </w:rPr>
        <w:t>;</w:t>
      </w:r>
      <w:r w:rsidRPr="00722DDC">
        <w:rPr>
          <w:rFonts w:cstheme="minorHAnsi"/>
          <w:color w:val="0D0D0D" w:themeColor="text1" w:themeTint="F2"/>
        </w:rPr>
        <w:t xml:space="preserve"> às alterações políticas, econômicas e regulatórias; aos desafios quanto ao mercado e às estratégias de comercialização de óleo e gás. </w:t>
      </w:r>
    </w:p>
    <w:p w14:paraId="1C12D471" w14:textId="1CC1A15A" w:rsidR="00387C98" w:rsidRPr="00722DDC" w:rsidRDefault="00D624B3"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Políticas e práticas de governança corporativa</w:t>
      </w:r>
    </w:p>
    <w:p w14:paraId="497EB86E" w14:textId="77777777" w:rsidR="00D624B3" w:rsidRPr="00722DDC" w:rsidRDefault="00D624B3" w:rsidP="00722DDC">
      <w:pPr>
        <w:pStyle w:val="Default"/>
        <w:jc w:val="both"/>
        <w:rPr>
          <w:rFonts w:asciiTheme="minorHAnsi" w:hAnsiTheme="minorHAnsi" w:cstheme="minorHAnsi"/>
          <w:b/>
          <w:bCs/>
          <w:color w:val="008192"/>
          <w:sz w:val="22"/>
          <w:szCs w:val="22"/>
        </w:rPr>
      </w:pPr>
    </w:p>
    <w:p w14:paraId="5C34C735" w14:textId="6E22AA86" w:rsidR="00D624B3" w:rsidRPr="00722DDC" w:rsidRDefault="003A6AE9" w:rsidP="00722DDC">
      <w:pPr>
        <w:tabs>
          <w:tab w:val="left" w:pos="975"/>
        </w:tabs>
        <w:spacing w:line="276" w:lineRule="auto"/>
        <w:ind w:hanging="720"/>
        <w:jc w:val="both"/>
        <w:rPr>
          <w:rFonts w:cstheme="minorHAnsi"/>
        </w:rPr>
      </w:pPr>
      <w:r w:rsidRPr="00722DDC">
        <w:rPr>
          <w:rFonts w:cstheme="minorHAnsi"/>
        </w:rPr>
        <w:tab/>
      </w:r>
      <w:r w:rsidR="00D624B3" w:rsidRPr="00722DDC">
        <w:rPr>
          <w:rFonts w:cstheme="minorHAnsi"/>
        </w:rPr>
        <w:t xml:space="preserve">Ao longo de 2019, a </w:t>
      </w:r>
      <w:proofErr w:type="spellStart"/>
      <w:r w:rsidR="00D624B3" w:rsidRPr="00722DDC">
        <w:rPr>
          <w:rFonts w:cstheme="minorHAnsi"/>
        </w:rPr>
        <w:t>Pré</w:t>
      </w:r>
      <w:proofErr w:type="spellEnd"/>
      <w:r w:rsidR="00D624B3" w:rsidRPr="00722DDC">
        <w:rPr>
          <w:rFonts w:cstheme="minorHAnsi"/>
        </w:rPr>
        <w:t xml:space="preserve">-Sal Petróleo aprimorou sua Governança Corporativa, com melhorias </w:t>
      </w:r>
      <w:r w:rsidR="004C118E">
        <w:rPr>
          <w:rFonts w:cstheme="minorHAnsi"/>
        </w:rPr>
        <w:t>n</w:t>
      </w:r>
      <w:r w:rsidR="00D624B3" w:rsidRPr="00722DDC">
        <w:rPr>
          <w:rFonts w:cstheme="minorHAnsi"/>
        </w:rPr>
        <w:t xml:space="preserve">os processos desenvolvidos, </w:t>
      </w:r>
      <w:r w:rsidR="004C118E">
        <w:rPr>
          <w:rFonts w:cstheme="minorHAnsi"/>
        </w:rPr>
        <w:t xml:space="preserve">na </w:t>
      </w:r>
      <w:r w:rsidR="00D624B3" w:rsidRPr="00722DDC">
        <w:rPr>
          <w:rFonts w:cstheme="minorHAnsi"/>
        </w:rPr>
        <w:t xml:space="preserve">identificação de oportunidades e </w:t>
      </w:r>
      <w:r w:rsidR="004C118E">
        <w:rPr>
          <w:rFonts w:cstheme="minorHAnsi"/>
        </w:rPr>
        <w:t xml:space="preserve">na </w:t>
      </w:r>
      <w:r w:rsidR="00D624B3" w:rsidRPr="00722DDC">
        <w:rPr>
          <w:rFonts w:cstheme="minorHAnsi"/>
        </w:rPr>
        <w:t>mitigação de riscos. A empresa passou a contar com a atuação do Comitê de Auditoria (COAUD</w:t>
      </w:r>
      <w:r w:rsidR="004C118E">
        <w:rPr>
          <w:rFonts w:cstheme="minorHAnsi"/>
        </w:rPr>
        <w:t xml:space="preserve"> </w:t>
      </w:r>
      <w:r w:rsidR="00D624B3" w:rsidRPr="00722DDC">
        <w:rPr>
          <w:rFonts w:cstheme="minorHAnsi"/>
        </w:rPr>
        <w:t xml:space="preserve">– órgão que assessora o Conselho de Administração), formalizou sua associação ao Instituto Brasileiro de Governança Corporativa (IBGC – organização sem fins lucrativos, reconhecida no Brasil como a principal referência para a difusão das melhores práticas de governança corporativa), contratou uma consultoria para </w:t>
      </w:r>
      <w:r w:rsidR="00D624B3" w:rsidRPr="00722DDC">
        <w:rPr>
          <w:rFonts w:cstheme="minorHAnsi"/>
        </w:rPr>
        <w:lastRenderedPageBreak/>
        <w:t xml:space="preserve">implantar seu Programa de Integridade e realizou treinamentos de </w:t>
      </w:r>
      <w:r w:rsidR="00D44AD0">
        <w:rPr>
          <w:rFonts w:cstheme="minorHAnsi"/>
        </w:rPr>
        <w:t xml:space="preserve">integridade ou conformidade </w:t>
      </w:r>
      <w:r w:rsidR="00D624B3" w:rsidRPr="00722DDC">
        <w:rPr>
          <w:rFonts w:cstheme="minorHAnsi"/>
        </w:rPr>
        <w:t xml:space="preserve">para seus empregados, diretores e membros dos diversos colegiados. </w:t>
      </w:r>
    </w:p>
    <w:p w14:paraId="7EA51BCB" w14:textId="2ECBDE17" w:rsidR="00D624B3" w:rsidRPr="00722DDC" w:rsidRDefault="00D624B3" w:rsidP="00722DDC">
      <w:pPr>
        <w:tabs>
          <w:tab w:val="left" w:pos="975"/>
        </w:tabs>
        <w:spacing w:line="276" w:lineRule="auto"/>
        <w:ind w:hanging="720"/>
        <w:jc w:val="both"/>
        <w:rPr>
          <w:rFonts w:cstheme="minorHAnsi"/>
        </w:rPr>
      </w:pPr>
      <w:r w:rsidRPr="00722DDC">
        <w:rPr>
          <w:rFonts w:cstheme="minorHAnsi"/>
        </w:rPr>
        <w:t xml:space="preserve">               O Estatuto Social da </w:t>
      </w:r>
      <w:proofErr w:type="spellStart"/>
      <w:r w:rsidRPr="00722DDC">
        <w:rPr>
          <w:rFonts w:cstheme="minorHAnsi"/>
        </w:rPr>
        <w:t>Pré</w:t>
      </w:r>
      <w:proofErr w:type="spellEnd"/>
      <w:r w:rsidRPr="00722DDC">
        <w:rPr>
          <w:rFonts w:cstheme="minorHAnsi"/>
        </w:rPr>
        <w:t xml:space="preserve">-Sal Petróleo traz uma série de regramentos que norteiam os atos da administração e definem a estrutura organizacional interna e as funções das áreas que a compõem. Desde abril, a companhia passou a ser presidida pelo engenheiro José Eduardo Vinhaes </w:t>
      </w:r>
      <w:proofErr w:type="spellStart"/>
      <w:r w:rsidRPr="00722DDC">
        <w:rPr>
          <w:rFonts w:cstheme="minorHAnsi"/>
        </w:rPr>
        <w:t>Gerk</w:t>
      </w:r>
      <w:proofErr w:type="spellEnd"/>
      <w:r w:rsidRPr="00722DDC">
        <w:rPr>
          <w:rFonts w:cstheme="minorHAnsi"/>
        </w:rPr>
        <w:t xml:space="preserve">. No segundo semestre, os engenheiros Samir </w:t>
      </w:r>
      <w:proofErr w:type="spellStart"/>
      <w:r w:rsidRPr="00722DDC">
        <w:rPr>
          <w:rFonts w:cstheme="minorHAnsi"/>
        </w:rPr>
        <w:t>Awad</w:t>
      </w:r>
      <w:proofErr w:type="spellEnd"/>
      <w:r w:rsidRPr="00722DDC">
        <w:rPr>
          <w:rFonts w:cstheme="minorHAnsi"/>
        </w:rPr>
        <w:t xml:space="preserve"> e </w:t>
      </w:r>
      <w:proofErr w:type="spellStart"/>
      <w:r w:rsidRPr="00722DDC">
        <w:rPr>
          <w:rFonts w:cstheme="minorHAnsi"/>
        </w:rPr>
        <w:t>Osmond</w:t>
      </w:r>
      <w:proofErr w:type="spellEnd"/>
      <w:r w:rsidRPr="00722DDC">
        <w:rPr>
          <w:rFonts w:cstheme="minorHAnsi"/>
        </w:rPr>
        <w:t xml:space="preserve"> Coelho assumiram as diretorias de Administração, Controle e Finanças</w:t>
      </w:r>
      <w:r w:rsidR="004C118E">
        <w:rPr>
          <w:rFonts w:cstheme="minorHAnsi"/>
        </w:rPr>
        <w:t>,</w:t>
      </w:r>
      <w:r w:rsidRPr="00722DDC">
        <w:rPr>
          <w:rFonts w:cstheme="minorHAnsi"/>
        </w:rPr>
        <w:t xml:space="preserve"> e de Gestão de Contratos, respectivamente. Ao lado de Paulo Carvalho, diretor-técnico e de Fiscalização, eles compõem a Diretoria Executiva, órgão colegiado responsável por exercer a Gestão dos Negócios da companhia, de acordo com a missão, políticas e estratégia aprovadas pelo Conselho de Administração.</w:t>
      </w:r>
    </w:p>
    <w:p w14:paraId="260EE48C" w14:textId="5E4A1E46" w:rsidR="003A6AE9" w:rsidRPr="00722DDC" w:rsidRDefault="00D624B3" w:rsidP="00722DDC">
      <w:pPr>
        <w:tabs>
          <w:tab w:val="left" w:pos="975"/>
        </w:tabs>
        <w:spacing w:line="276" w:lineRule="auto"/>
        <w:ind w:hanging="720"/>
        <w:jc w:val="both"/>
        <w:rPr>
          <w:rFonts w:cstheme="minorHAnsi"/>
        </w:rPr>
      </w:pPr>
      <w:r w:rsidRPr="00722DDC">
        <w:rPr>
          <w:rFonts w:cstheme="minorHAnsi"/>
        </w:rPr>
        <w:t xml:space="preserve">              O prazo de gestão da Diretoria Executiva é unificado de dois anos, sendo permitidas, no máximo, três reconduções consecutivas. </w:t>
      </w:r>
    </w:p>
    <w:p w14:paraId="7108854B" w14:textId="1B3CEFEB" w:rsidR="00D624B3" w:rsidRPr="00722DDC" w:rsidRDefault="00D624B3" w:rsidP="00722DDC">
      <w:pPr>
        <w:tabs>
          <w:tab w:val="left" w:pos="975"/>
        </w:tabs>
        <w:spacing w:line="276" w:lineRule="auto"/>
        <w:ind w:hanging="720"/>
        <w:jc w:val="both"/>
        <w:rPr>
          <w:rFonts w:cstheme="minorHAnsi"/>
        </w:rPr>
      </w:pPr>
      <w:r w:rsidRPr="00722DDC">
        <w:rPr>
          <w:rFonts w:cstheme="minorHAnsi"/>
        </w:rPr>
        <w:t xml:space="preserve">               A Governança Corporativa da companhia é realizada por meio dos seguintes órgãos:</w:t>
      </w:r>
    </w:p>
    <w:p w14:paraId="1EBDB4D0" w14:textId="6ECE4B94" w:rsidR="00D624B3" w:rsidRPr="00722DDC" w:rsidRDefault="00D624B3" w:rsidP="00722DDC">
      <w:pPr>
        <w:tabs>
          <w:tab w:val="left" w:pos="975"/>
        </w:tabs>
        <w:spacing w:line="276" w:lineRule="auto"/>
        <w:ind w:firstLine="851"/>
        <w:jc w:val="both"/>
        <w:rPr>
          <w:rFonts w:cstheme="minorHAnsi"/>
        </w:rPr>
      </w:pPr>
      <w:r w:rsidRPr="00722DDC">
        <w:rPr>
          <w:rFonts w:cstheme="minorHAnsi"/>
          <w:noProof/>
          <w:lang w:eastAsia="pt-BR"/>
        </w:rPr>
        <w:drawing>
          <wp:inline distT="0" distB="0" distL="0" distR="0" wp14:anchorId="7B36598F" wp14:editId="1B2CC67B">
            <wp:extent cx="4420762" cy="2726055"/>
            <wp:effectExtent l="0" t="0" r="0" b="0"/>
            <wp:docPr id="211242299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pic:nvPicPr>
                  <pic:blipFill>
                    <a:blip r:embed="rId30">
                      <a:extLst>
                        <a:ext uri="{28A0092B-C50C-407E-A947-70E740481C1C}">
                          <a14:useLocalDpi xmlns:a14="http://schemas.microsoft.com/office/drawing/2010/main" val="0"/>
                        </a:ext>
                      </a:extLst>
                    </a:blip>
                    <a:stretch>
                      <a:fillRect/>
                    </a:stretch>
                  </pic:blipFill>
                  <pic:spPr>
                    <a:xfrm>
                      <a:off x="0" y="0"/>
                      <a:ext cx="4427036" cy="2729924"/>
                    </a:xfrm>
                    <a:prstGeom prst="rect">
                      <a:avLst/>
                    </a:prstGeom>
                  </pic:spPr>
                </pic:pic>
              </a:graphicData>
            </a:graphic>
          </wp:inline>
        </w:drawing>
      </w:r>
    </w:p>
    <w:p w14:paraId="767C1513" w14:textId="77777777" w:rsidR="00D624B3" w:rsidRPr="00722DDC" w:rsidRDefault="00D624B3" w:rsidP="00722DDC">
      <w:pPr>
        <w:spacing w:after="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shd w:val="clear" w:color="auto" w:fill="FFFFFF"/>
          <w:lang w:eastAsia="pt-BR"/>
        </w:rPr>
        <w:fldChar w:fldCharType="begin"/>
      </w:r>
      <w:r w:rsidRPr="00722DDC">
        <w:rPr>
          <w:rFonts w:eastAsia="Times New Roman" w:cstheme="minorHAnsi"/>
          <w:color w:val="0D0D0D" w:themeColor="text1" w:themeTint="F2"/>
          <w:shd w:val="clear" w:color="auto" w:fill="FFFFFF"/>
          <w:lang w:eastAsia="pt-BR"/>
        </w:rPr>
        <w:instrText xml:space="preserve"> HYPERLINK "https://www.presalpetroleo.gov.br/ppsa/governanca-corporativa/assembleia-geral" </w:instrText>
      </w:r>
      <w:r w:rsidRPr="00722DDC">
        <w:rPr>
          <w:rFonts w:eastAsia="Times New Roman" w:cstheme="minorHAnsi"/>
          <w:color w:val="0D0D0D" w:themeColor="text1" w:themeTint="F2"/>
          <w:shd w:val="clear" w:color="auto" w:fill="FFFFFF"/>
          <w:lang w:eastAsia="pt-BR"/>
        </w:rPr>
        <w:fldChar w:fldCharType="separate"/>
      </w:r>
    </w:p>
    <w:p w14:paraId="11417157" w14:textId="77777777" w:rsidR="00D624B3" w:rsidRPr="00722DDC" w:rsidRDefault="00D624B3" w:rsidP="00722DDC">
      <w:pPr>
        <w:spacing w:after="225" w:line="276" w:lineRule="auto"/>
        <w:jc w:val="both"/>
        <w:outlineLvl w:val="2"/>
        <w:rPr>
          <w:rFonts w:eastAsia="Times New Roman" w:cstheme="minorHAnsi"/>
          <w:color w:val="0D0D0D" w:themeColor="text1" w:themeTint="F2"/>
          <w:u w:val="single"/>
          <w:lang w:eastAsia="pt-BR"/>
        </w:rPr>
      </w:pPr>
      <w:r w:rsidRPr="00722DDC">
        <w:rPr>
          <w:rFonts w:eastAsia="Times New Roman" w:cstheme="minorHAnsi"/>
          <w:color w:val="0D0D0D" w:themeColor="text1" w:themeTint="F2"/>
          <w:u w:val="single"/>
          <w:lang w:eastAsia="pt-BR"/>
        </w:rPr>
        <w:t>Assembleia-Geral</w:t>
      </w:r>
    </w:p>
    <w:p w14:paraId="16A5DEC4" w14:textId="77777777" w:rsidR="00D624B3" w:rsidRPr="00722DDC" w:rsidRDefault="00D624B3" w:rsidP="00722DDC">
      <w:pPr>
        <w:spacing w:after="300" w:line="330" w:lineRule="atLeast"/>
        <w:jc w:val="both"/>
        <w:rPr>
          <w:rFonts w:eastAsia="Times New Roman" w:cstheme="minorHAnsi"/>
          <w:color w:val="0D0D0D" w:themeColor="text1" w:themeTint="F2"/>
          <w:lang w:eastAsia="pt-BR"/>
        </w:rPr>
      </w:pPr>
      <w:r w:rsidRPr="00722DDC">
        <w:rPr>
          <w:rFonts w:eastAsia="Times New Roman" w:cstheme="minorHAnsi"/>
          <w:color w:val="0D0D0D" w:themeColor="text1" w:themeTint="F2"/>
          <w:lang w:eastAsia="pt-BR"/>
        </w:rPr>
        <w:t xml:space="preserve">A Assembleia-Geral, composta por um único acionista, a União, é o órgão máximo da </w:t>
      </w:r>
      <w:proofErr w:type="spellStart"/>
      <w:r w:rsidRPr="00722DDC">
        <w:rPr>
          <w:rFonts w:eastAsia="Times New Roman" w:cstheme="minorHAnsi"/>
          <w:color w:val="0D0D0D" w:themeColor="text1" w:themeTint="F2"/>
          <w:lang w:eastAsia="pt-BR"/>
        </w:rPr>
        <w:t>Pré</w:t>
      </w:r>
      <w:proofErr w:type="spellEnd"/>
      <w:r w:rsidRPr="00722DDC">
        <w:rPr>
          <w:rFonts w:eastAsia="Times New Roman" w:cstheme="minorHAnsi"/>
          <w:color w:val="0D0D0D" w:themeColor="text1" w:themeTint="F2"/>
          <w:lang w:eastAsia="pt-BR"/>
        </w:rPr>
        <w:t>-Sal Petróleo, com poderes para deliberar sobre todos os negócios relativos ao seu objeto social, inclusive quanto à sua competência para alterar o capital social e o Estatuto Social da empresa, bem como eleger e destituir seus conselheiros de Administração e Fiscal.</w:t>
      </w:r>
    </w:p>
    <w:p w14:paraId="745FB59B" w14:textId="77777777" w:rsidR="00D624B3" w:rsidRPr="00722DDC" w:rsidRDefault="00D624B3" w:rsidP="00722DDC">
      <w:pPr>
        <w:spacing w:after="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shd w:val="clear" w:color="auto" w:fill="FFFFFF"/>
          <w:lang w:eastAsia="pt-BR"/>
        </w:rPr>
        <w:fldChar w:fldCharType="end"/>
      </w:r>
      <w:r w:rsidRPr="00722DDC">
        <w:rPr>
          <w:rFonts w:eastAsia="Times New Roman" w:cstheme="minorHAnsi"/>
          <w:color w:val="0D0D0D" w:themeColor="text1" w:themeTint="F2"/>
          <w:shd w:val="clear" w:color="auto" w:fill="FFFFFF"/>
          <w:lang w:eastAsia="pt-BR"/>
        </w:rPr>
        <w:fldChar w:fldCharType="begin"/>
      </w:r>
      <w:r w:rsidRPr="00722DDC">
        <w:rPr>
          <w:rFonts w:eastAsia="Times New Roman" w:cstheme="minorHAnsi"/>
          <w:color w:val="0D0D0D" w:themeColor="text1" w:themeTint="F2"/>
          <w:shd w:val="clear" w:color="auto" w:fill="FFFFFF"/>
          <w:lang w:eastAsia="pt-BR"/>
        </w:rPr>
        <w:instrText xml:space="preserve"> HYPERLINK "https://www.presalpetroleo.gov.br/ppsa/governanca-corporativa/conselho-de-administracao" </w:instrText>
      </w:r>
      <w:r w:rsidRPr="00722DDC">
        <w:rPr>
          <w:rFonts w:eastAsia="Times New Roman" w:cstheme="minorHAnsi"/>
          <w:color w:val="0D0D0D" w:themeColor="text1" w:themeTint="F2"/>
          <w:shd w:val="clear" w:color="auto" w:fill="FFFFFF"/>
          <w:lang w:eastAsia="pt-BR"/>
        </w:rPr>
        <w:fldChar w:fldCharType="separate"/>
      </w:r>
    </w:p>
    <w:p w14:paraId="16C6E230" w14:textId="77777777" w:rsidR="00D624B3" w:rsidRPr="00722DDC" w:rsidRDefault="00D624B3" w:rsidP="00722DDC">
      <w:pPr>
        <w:spacing w:after="225" w:line="276" w:lineRule="auto"/>
        <w:jc w:val="both"/>
        <w:outlineLvl w:val="2"/>
        <w:rPr>
          <w:rFonts w:eastAsia="Times New Roman" w:cstheme="minorHAnsi"/>
          <w:color w:val="0D0D0D" w:themeColor="text1" w:themeTint="F2"/>
          <w:u w:val="single"/>
          <w:lang w:eastAsia="pt-BR"/>
        </w:rPr>
      </w:pPr>
      <w:r w:rsidRPr="00722DDC">
        <w:rPr>
          <w:rFonts w:eastAsia="Times New Roman" w:cstheme="minorHAnsi"/>
          <w:color w:val="0D0D0D" w:themeColor="text1" w:themeTint="F2"/>
          <w:u w:val="single"/>
          <w:lang w:eastAsia="pt-BR"/>
        </w:rPr>
        <w:t>Conselho de Administração</w:t>
      </w:r>
    </w:p>
    <w:p w14:paraId="66E00E0C" w14:textId="42F4BB3C" w:rsidR="00D624B3" w:rsidRPr="00722DDC" w:rsidRDefault="00D624B3" w:rsidP="00722DDC">
      <w:pPr>
        <w:spacing w:after="300" w:line="330" w:lineRule="atLeast"/>
        <w:jc w:val="both"/>
        <w:rPr>
          <w:rFonts w:eastAsia="Times New Roman" w:cstheme="minorHAnsi"/>
          <w:color w:val="0D0D0D" w:themeColor="text1" w:themeTint="F2"/>
          <w:lang w:eastAsia="pt-BR"/>
        </w:rPr>
      </w:pPr>
      <w:r w:rsidRPr="00722DDC">
        <w:rPr>
          <w:rFonts w:eastAsia="Times New Roman" w:cstheme="minorHAnsi"/>
          <w:color w:val="0D0D0D" w:themeColor="text1" w:themeTint="F2"/>
          <w:lang w:eastAsia="pt-BR"/>
        </w:rPr>
        <w:t xml:space="preserve">O Conselho de Administração é formado por cinco membros eleitos em Assembleia-Geral. Deve ser constituído por um conselheiro indicado pelo Ministério de Minas e Energia (MME); dois, pelo Ministério da Economia; um, pela Casa Civil; </w:t>
      </w:r>
      <w:proofErr w:type="gramStart"/>
      <w:r w:rsidRPr="00722DDC">
        <w:rPr>
          <w:rFonts w:eastAsia="Times New Roman" w:cstheme="minorHAnsi"/>
          <w:color w:val="0D0D0D" w:themeColor="text1" w:themeTint="F2"/>
          <w:lang w:eastAsia="pt-BR"/>
        </w:rPr>
        <w:t>e  pel</w:t>
      </w:r>
      <w:proofErr w:type="gramEnd"/>
      <w:r w:rsidRPr="00722DDC">
        <w:rPr>
          <w:rFonts w:eastAsia="Times New Roman" w:cstheme="minorHAnsi"/>
          <w:color w:val="0D0D0D" w:themeColor="text1" w:themeTint="F2"/>
          <w:lang w:eastAsia="pt-BR"/>
        </w:rPr>
        <w:t xml:space="preserve">o diretor-presidente da </w:t>
      </w:r>
      <w:proofErr w:type="spellStart"/>
      <w:r w:rsidRPr="00722DDC">
        <w:rPr>
          <w:rFonts w:eastAsia="Times New Roman" w:cstheme="minorHAnsi"/>
          <w:color w:val="0D0D0D" w:themeColor="text1" w:themeTint="F2"/>
          <w:lang w:eastAsia="pt-BR"/>
        </w:rPr>
        <w:t>Pré</w:t>
      </w:r>
      <w:proofErr w:type="spellEnd"/>
      <w:r w:rsidRPr="00722DDC">
        <w:rPr>
          <w:rFonts w:eastAsia="Times New Roman" w:cstheme="minorHAnsi"/>
          <w:color w:val="0D0D0D" w:themeColor="text1" w:themeTint="F2"/>
          <w:lang w:eastAsia="pt-BR"/>
        </w:rPr>
        <w:t xml:space="preserve">-Sal Petróleo, membro nato. Os conselheiros de Administração têm prazo de gestão unificado de dois anos, permitidas, no </w:t>
      </w:r>
      <w:r w:rsidRPr="00722DDC">
        <w:rPr>
          <w:rFonts w:eastAsia="Times New Roman" w:cstheme="minorHAnsi"/>
          <w:color w:val="0D0D0D" w:themeColor="text1" w:themeTint="F2"/>
          <w:lang w:eastAsia="pt-BR"/>
        </w:rPr>
        <w:lastRenderedPageBreak/>
        <w:t>máximo, três reconduções consecutivas. As reuniões ordinárias ocorrem mensalmente; e as extraordinárias, sempre que convocadas pelo seu presidente ou pela maioria dos seus membros. As decisões do Conselho de Administração são tomadas por maioria simples de votos dos presentes e registradas em ata, cabendo ao presidente os votos ordinários e de qualidade.</w:t>
      </w:r>
    </w:p>
    <w:p w14:paraId="3C87CE8E" w14:textId="77777777" w:rsidR="00D624B3" w:rsidRPr="00722DDC" w:rsidRDefault="00D624B3" w:rsidP="00722DDC">
      <w:pPr>
        <w:spacing w:after="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shd w:val="clear" w:color="auto" w:fill="FFFFFF"/>
          <w:lang w:eastAsia="pt-BR"/>
        </w:rPr>
        <w:fldChar w:fldCharType="end"/>
      </w:r>
      <w:r w:rsidRPr="00722DDC">
        <w:rPr>
          <w:rFonts w:eastAsia="Times New Roman" w:cstheme="minorHAnsi"/>
          <w:color w:val="0D0D0D" w:themeColor="text1" w:themeTint="F2"/>
          <w:shd w:val="clear" w:color="auto" w:fill="FFFFFF"/>
          <w:lang w:eastAsia="pt-BR"/>
        </w:rPr>
        <w:fldChar w:fldCharType="begin"/>
      </w:r>
      <w:r w:rsidRPr="00722DDC">
        <w:rPr>
          <w:rFonts w:eastAsia="Times New Roman" w:cstheme="minorHAnsi"/>
          <w:color w:val="0D0D0D" w:themeColor="text1" w:themeTint="F2"/>
          <w:shd w:val="clear" w:color="auto" w:fill="FFFFFF"/>
          <w:lang w:eastAsia="pt-BR"/>
        </w:rPr>
        <w:instrText xml:space="preserve"> HYPERLINK "https://www.presalpetroleo.gov.br/ppsa/governanca-corporativa/conselho-fiscal" </w:instrText>
      </w:r>
      <w:r w:rsidRPr="00722DDC">
        <w:rPr>
          <w:rFonts w:eastAsia="Times New Roman" w:cstheme="minorHAnsi"/>
          <w:color w:val="0D0D0D" w:themeColor="text1" w:themeTint="F2"/>
          <w:shd w:val="clear" w:color="auto" w:fill="FFFFFF"/>
          <w:lang w:eastAsia="pt-BR"/>
        </w:rPr>
        <w:fldChar w:fldCharType="separate"/>
      </w:r>
    </w:p>
    <w:p w14:paraId="410C0284" w14:textId="77777777" w:rsidR="00D624B3" w:rsidRPr="00722DDC" w:rsidRDefault="00D624B3" w:rsidP="00722DDC">
      <w:pPr>
        <w:spacing w:after="225" w:line="276" w:lineRule="auto"/>
        <w:jc w:val="both"/>
        <w:outlineLvl w:val="2"/>
        <w:rPr>
          <w:rFonts w:eastAsia="Times New Roman" w:cstheme="minorHAnsi"/>
          <w:color w:val="0D0D0D" w:themeColor="text1" w:themeTint="F2"/>
          <w:u w:val="single"/>
          <w:lang w:eastAsia="pt-BR"/>
        </w:rPr>
      </w:pPr>
      <w:r w:rsidRPr="00722DDC">
        <w:rPr>
          <w:rFonts w:eastAsia="Times New Roman" w:cstheme="minorHAnsi"/>
          <w:color w:val="0D0D0D" w:themeColor="text1" w:themeTint="F2"/>
          <w:u w:val="single"/>
          <w:lang w:eastAsia="pt-BR"/>
        </w:rPr>
        <w:t>Conselho Fiscal</w:t>
      </w:r>
    </w:p>
    <w:p w14:paraId="04C94F22" w14:textId="77777777" w:rsidR="00D624B3" w:rsidRPr="00722DDC" w:rsidRDefault="00D624B3" w:rsidP="00722DDC">
      <w:pPr>
        <w:spacing w:after="30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lang w:eastAsia="pt-BR"/>
        </w:rPr>
        <w:t>Os membros do Conselho Fiscal são eleitos e destituídos em Assembleia-Geral. Os conselheiros são empossados para um período de gestão de dois anos, admitidas duas reconduções. Dois conselheiros são indicados pelo MME; e um, pelo Ministério da Economia. As reuniões ordinárias ocorrem mensalmente; e as extraordinárias, quando convocadas pelo seu presidente.</w:t>
      </w:r>
    </w:p>
    <w:p w14:paraId="3A9C8CE5" w14:textId="77777777" w:rsidR="00D624B3" w:rsidRPr="00722DDC" w:rsidRDefault="00D624B3" w:rsidP="00722DDC">
      <w:pPr>
        <w:spacing w:after="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shd w:val="clear" w:color="auto" w:fill="FFFFFF"/>
          <w:lang w:eastAsia="pt-BR"/>
        </w:rPr>
        <w:fldChar w:fldCharType="end"/>
      </w:r>
      <w:r w:rsidRPr="00722DDC">
        <w:rPr>
          <w:rFonts w:eastAsia="Times New Roman" w:cstheme="minorHAnsi"/>
          <w:color w:val="0D0D0D" w:themeColor="text1" w:themeTint="F2"/>
          <w:shd w:val="clear" w:color="auto" w:fill="FFFFFF"/>
          <w:lang w:eastAsia="pt-BR"/>
        </w:rPr>
        <w:fldChar w:fldCharType="begin"/>
      </w:r>
      <w:r w:rsidRPr="00722DDC">
        <w:rPr>
          <w:rFonts w:eastAsia="Times New Roman" w:cstheme="minorHAnsi"/>
          <w:color w:val="0D0D0D" w:themeColor="text1" w:themeTint="F2"/>
          <w:shd w:val="clear" w:color="auto" w:fill="FFFFFF"/>
          <w:lang w:eastAsia="pt-BR"/>
        </w:rPr>
        <w:instrText xml:space="preserve"> HYPERLINK "https://www.presalpetroleo.gov.br/ppsa/acesso-a-informacao/auditorias" </w:instrText>
      </w:r>
      <w:r w:rsidRPr="00722DDC">
        <w:rPr>
          <w:rFonts w:eastAsia="Times New Roman" w:cstheme="minorHAnsi"/>
          <w:color w:val="0D0D0D" w:themeColor="text1" w:themeTint="F2"/>
          <w:shd w:val="clear" w:color="auto" w:fill="FFFFFF"/>
          <w:lang w:eastAsia="pt-BR"/>
        </w:rPr>
        <w:fldChar w:fldCharType="separate"/>
      </w:r>
    </w:p>
    <w:p w14:paraId="22D5FF3D" w14:textId="77777777" w:rsidR="00D624B3" w:rsidRPr="00722DDC" w:rsidRDefault="00D624B3" w:rsidP="00722DDC">
      <w:pPr>
        <w:spacing w:after="225" w:line="276" w:lineRule="auto"/>
        <w:jc w:val="both"/>
        <w:outlineLvl w:val="2"/>
        <w:rPr>
          <w:rFonts w:eastAsia="Times New Roman" w:cstheme="minorHAnsi"/>
          <w:color w:val="0D0D0D" w:themeColor="text1" w:themeTint="F2"/>
          <w:u w:val="single"/>
          <w:lang w:eastAsia="pt-BR"/>
        </w:rPr>
      </w:pPr>
      <w:r w:rsidRPr="00722DDC">
        <w:rPr>
          <w:rFonts w:eastAsia="Times New Roman" w:cstheme="minorHAnsi"/>
          <w:color w:val="0D0D0D" w:themeColor="text1" w:themeTint="F2"/>
          <w:u w:val="single"/>
          <w:lang w:eastAsia="pt-BR"/>
        </w:rPr>
        <w:t>Auditoria Interna</w:t>
      </w:r>
    </w:p>
    <w:p w14:paraId="06AD9D08" w14:textId="77777777" w:rsidR="00D624B3" w:rsidRPr="00722DDC" w:rsidRDefault="00D624B3" w:rsidP="00722DDC">
      <w:pPr>
        <w:spacing w:after="30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lang w:eastAsia="pt-BR"/>
        </w:rPr>
        <w:t xml:space="preserve">A Auditoria Interna é a área de controle responsável por fortalecer e assessorar a gestão, bem como por desenvolver ações preventivas e prestar apoio, dentro de suas especificidades, no âmbito da empresa. Sua atuação se dá para contribuir com a garantia da legalidade, moralidade, impessoalidade e probidade dos atos da administração. A Auditoria Interna é vinculada ao Conselho de Administração e se subordina, administrativamente, ao diretor-presidente da </w:t>
      </w:r>
      <w:proofErr w:type="spellStart"/>
      <w:r w:rsidRPr="00722DDC">
        <w:rPr>
          <w:rFonts w:eastAsia="Times New Roman" w:cstheme="minorHAnsi"/>
          <w:color w:val="0D0D0D" w:themeColor="text1" w:themeTint="F2"/>
          <w:lang w:eastAsia="pt-BR"/>
        </w:rPr>
        <w:t>Pré</w:t>
      </w:r>
      <w:proofErr w:type="spellEnd"/>
      <w:r w:rsidRPr="00722DDC">
        <w:rPr>
          <w:rFonts w:eastAsia="Times New Roman" w:cstheme="minorHAnsi"/>
          <w:color w:val="0D0D0D" w:themeColor="text1" w:themeTint="F2"/>
          <w:lang w:eastAsia="pt-BR"/>
        </w:rPr>
        <w:t>-Sal Petróleo.</w:t>
      </w:r>
    </w:p>
    <w:p w14:paraId="4D6DF587" w14:textId="77777777" w:rsidR="00D624B3" w:rsidRPr="00722DDC" w:rsidRDefault="00D624B3" w:rsidP="00722DDC">
      <w:pPr>
        <w:spacing w:after="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shd w:val="clear" w:color="auto" w:fill="FFFFFF"/>
          <w:lang w:eastAsia="pt-BR"/>
        </w:rPr>
        <w:fldChar w:fldCharType="end"/>
      </w:r>
      <w:r w:rsidRPr="00722DDC">
        <w:rPr>
          <w:rFonts w:eastAsia="Times New Roman" w:cstheme="minorHAnsi"/>
          <w:color w:val="0D0D0D" w:themeColor="text1" w:themeTint="F2"/>
          <w:shd w:val="clear" w:color="auto" w:fill="FFFFFF"/>
          <w:lang w:eastAsia="pt-BR"/>
        </w:rPr>
        <w:fldChar w:fldCharType="begin"/>
      </w:r>
      <w:r w:rsidRPr="00722DDC">
        <w:rPr>
          <w:rFonts w:eastAsia="Times New Roman" w:cstheme="minorHAnsi"/>
          <w:color w:val="0D0D0D" w:themeColor="text1" w:themeTint="F2"/>
          <w:shd w:val="clear" w:color="auto" w:fill="FFFFFF"/>
          <w:lang w:eastAsia="pt-BR"/>
        </w:rPr>
        <w:instrText xml:space="preserve"> HYPERLINK "https://www.presalpetroleo.gov.br/ppsa/governanca-corporativa/comite-de-governanca-e-conformidade-cgc" </w:instrText>
      </w:r>
      <w:r w:rsidRPr="00722DDC">
        <w:rPr>
          <w:rFonts w:eastAsia="Times New Roman" w:cstheme="minorHAnsi"/>
          <w:color w:val="0D0D0D" w:themeColor="text1" w:themeTint="F2"/>
          <w:shd w:val="clear" w:color="auto" w:fill="FFFFFF"/>
          <w:lang w:eastAsia="pt-BR"/>
        </w:rPr>
        <w:fldChar w:fldCharType="separate"/>
      </w:r>
    </w:p>
    <w:p w14:paraId="0E7109AC" w14:textId="77777777" w:rsidR="00D624B3" w:rsidRPr="00722DDC" w:rsidRDefault="00D624B3" w:rsidP="00722DDC">
      <w:pPr>
        <w:spacing w:after="225" w:line="276" w:lineRule="auto"/>
        <w:jc w:val="both"/>
        <w:outlineLvl w:val="2"/>
        <w:rPr>
          <w:rFonts w:eastAsia="Times New Roman" w:cstheme="minorHAnsi"/>
          <w:color w:val="0D0D0D" w:themeColor="text1" w:themeTint="F2"/>
          <w:u w:val="single"/>
          <w:lang w:eastAsia="pt-BR"/>
        </w:rPr>
      </w:pPr>
      <w:r w:rsidRPr="00722DDC">
        <w:rPr>
          <w:rFonts w:eastAsia="Times New Roman" w:cstheme="minorHAnsi"/>
          <w:color w:val="0D0D0D" w:themeColor="text1" w:themeTint="F2"/>
          <w:u w:val="single"/>
          <w:lang w:eastAsia="pt-BR"/>
        </w:rPr>
        <w:t>Comitê de Governança e Conformidade (CGC)</w:t>
      </w:r>
    </w:p>
    <w:p w14:paraId="218CC5DB" w14:textId="6B8485B1" w:rsidR="00D624B3" w:rsidRPr="00722DDC" w:rsidRDefault="00D624B3" w:rsidP="00722DDC">
      <w:pPr>
        <w:spacing w:after="300" w:line="276" w:lineRule="auto"/>
        <w:jc w:val="both"/>
        <w:rPr>
          <w:rFonts w:eastAsia="Times New Roman" w:cstheme="minorHAnsi"/>
          <w:color w:val="0D0D0D" w:themeColor="text1" w:themeTint="F2"/>
          <w:lang w:eastAsia="pt-BR"/>
        </w:rPr>
      </w:pPr>
      <w:r w:rsidRPr="00722DDC">
        <w:rPr>
          <w:rFonts w:eastAsia="Times New Roman" w:cstheme="minorHAnsi"/>
          <w:color w:val="0D0D0D" w:themeColor="text1" w:themeTint="F2"/>
          <w:lang w:eastAsia="pt-BR"/>
        </w:rPr>
        <w:t xml:space="preserve">O Comitê de Governança e Conformidade (CGC) tem a missão de atuar como apoio à adoção das melhores práticas de governança corporativa e conformidade, bem como implantar um modelo de governança e conformidade nos moldes estabelecidos em lei. O CGC se reúne ordinariamente, sempre que convocado por qualquer um de seus </w:t>
      </w:r>
      <w:r w:rsidR="00F27167">
        <w:rPr>
          <w:rFonts w:eastAsia="Times New Roman" w:cstheme="minorHAnsi"/>
          <w:color w:val="0D0D0D" w:themeColor="text1" w:themeTint="F2"/>
          <w:lang w:eastAsia="pt-BR"/>
        </w:rPr>
        <w:t xml:space="preserve">três </w:t>
      </w:r>
      <w:r w:rsidRPr="00722DDC">
        <w:rPr>
          <w:rFonts w:eastAsia="Times New Roman" w:cstheme="minorHAnsi"/>
          <w:color w:val="0D0D0D" w:themeColor="text1" w:themeTint="F2"/>
          <w:lang w:eastAsia="pt-BR"/>
        </w:rPr>
        <w:t>membros</w:t>
      </w:r>
      <w:r w:rsidR="00F27167">
        <w:rPr>
          <w:rFonts w:eastAsia="Times New Roman" w:cstheme="minorHAnsi"/>
          <w:color w:val="0D0D0D" w:themeColor="text1" w:themeTint="F2"/>
          <w:lang w:eastAsia="pt-BR"/>
        </w:rPr>
        <w:t xml:space="preserve">, todos empregados da empresa (um assessor da presidência - planejamento estratégico </w:t>
      </w:r>
      <w:r w:rsidR="00BC27EC">
        <w:rPr>
          <w:rFonts w:eastAsia="Times New Roman" w:cstheme="minorHAnsi"/>
          <w:color w:val="0D0D0D" w:themeColor="text1" w:themeTint="F2"/>
          <w:lang w:eastAsia="pt-BR"/>
        </w:rPr>
        <w:t xml:space="preserve">- </w:t>
      </w:r>
      <w:r w:rsidR="00F27167">
        <w:rPr>
          <w:rFonts w:eastAsia="Times New Roman" w:cstheme="minorHAnsi"/>
          <w:color w:val="0D0D0D" w:themeColor="text1" w:themeTint="F2"/>
          <w:lang w:eastAsia="pt-BR"/>
        </w:rPr>
        <w:t>e dois gerentes executivos)</w:t>
      </w:r>
      <w:r w:rsidRPr="00722DDC">
        <w:rPr>
          <w:rFonts w:eastAsia="Times New Roman" w:cstheme="minorHAnsi"/>
          <w:color w:val="0D0D0D" w:themeColor="text1" w:themeTint="F2"/>
          <w:lang w:eastAsia="pt-BR"/>
        </w:rPr>
        <w:t>.</w:t>
      </w:r>
      <w:r w:rsidR="00D44AD0">
        <w:rPr>
          <w:rFonts w:eastAsia="Times New Roman" w:cstheme="minorHAnsi"/>
          <w:color w:val="0D0D0D" w:themeColor="text1" w:themeTint="F2"/>
          <w:lang w:eastAsia="pt-BR"/>
        </w:rPr>
        <w:t xml:space="preserve"> </w:t>
      </w:r>
    </w:p>
    <w:p w14:paraId="308F2924" w14:textId="77777777" w:rsidR="00D624B3" w:rsidRPr="00722DDC" w:rsidRDefault="00D624B3" w:rsidP="00722DDC">
      <w:pPr>
        <w:pStyle w:val="NormalWeb"/>
        <w:shd w:val="clear" w:color="auto" w:fill="FFFFFF"/>
        <w:spacing w:before="0" w:beforeAutospacing="0" w:after="0" w:afterAutospacing="0" w:line="360" w:lineRule="atLeast"/>
        <w:jc w:val="both"/>
        <w:rPr>
          <w:rFonts w:asciiTheme="minorHAnsi" w:hAnsiTheme="minorHAnsi" w:cstheme="minorHAnsi"/>
          <w:color w:val="201F1E"/>
          <w:sz w:val="22"/>
          <w:szCs w:val="22"/>
          <w:u w:val="single"/>
          <w:bdr w:val="none" w:sz="0" w:space="0" w:color="auto" w:frame="1"/>
        </w:rPr>
      </w:pPr>
      <w:r w:rsidRPr="00722DDC">
        <w:rPr>
          <w:rFonts w:asciiTheme="minorHAnsi" w:hAnsiTheme="minorHAnsi" w:cstheme="minorHAnsi"/>
          <w:color w:val="0D0D0D" w:themeColor="text1" w:themeTint="F2"/>
          <w:sz w:val="22"/>
          <w:szCs w:val="22"/>
          <w:shd w:val="clear" w:color="auto" w:fill="FFFFFF"/>
        </w:rPr>
        <w:fldChar w:fldCharType="end"/>
      </w:r>
      <w:hyperlink r:id="rId31" w:tgtFrame="_blank" w:history="1">
        <w:r w:rsidRPr="00722DDC">
          <w:rPr>
            <w:rStyle w:val="Hyperlink"/>
            <w:rFonts w:asciiTheme="minorHAnsi" w:hAnsiTheme="minorHAnsi" w:cstheme="minorHAnsi"/>
            <w:color w:val="0D0D0D"/>
            <w:sz w:val="22"/>
            <w:szCs w:val="22"/>
            <w:bdr w:val="none" w:sz="0" w:space="0" w:color="auto" w:frame="1"/>
          </w:rPr>
          <w:t>Comitê de Auditoria Estatutário</w:t>
        </w:r>
      </w:hyperlink>
      <w:r w:rsidRPr="00722DDC">
        <w:rPr>
          <w:rFonts w:asciiTheme="minorHAnsi" w:hAnsiTheme="minorHAnsi" w:cstheme="minorHAnsi"/>
          <w:color w:val="1F497D"/>
          <w:sz w:val="22"/>
          <w:szCs w:val="22"/>
          <w:u w:val="single"/>
          <w:bdr w:val="none" w:sz="0" w:space="0" w:color="auto" w:frame="1"/>
        </w:rPr>
        <w:t> </w:t>
      </w:r>
      <w:r w:rsidRPr="00722DDC">
        <w:rPr>
          <w:rFonts w:asciiTheme="minorHAnsi" w:hAnsiTheme="minorHAnsi" w:cstheme="minorHAnsi"/>
          <w:color w:val="201F1E"/>
          <w:sz w:val="22"/>
          <w:szCs w:val="22"/>
          <w:u w:val="single"/>
          <w:bdr w:val="none" w:sz="0" w:space="0" w:color="auto" w:frame="1"/>
        </w:rPr>
        <w:t>(COAUD)</w:t>
      </w:r>
    </w:p>
    <w:p w14:paraId="7F2A27F6" w14:textId="77777777" w:rsidR="00D624B3" w:rsidRPr="00722DDC" w:rsidRDefault="00D624B3" w:rsidP="00722DDC">
      <w:pPr>
        <w:pStyle w:val="NormalWeb"/>
        <w:shd w:val="clear" w:color="auto" w:fill="FFFFFF"/>
        <w:spacing w:before="0" w:beforeAutospacing="0" w:after="0" w:afterAutospacing="0" w:line="360" w:lineRule="atLeast"/>
        <w:jc w:val="both"/>
        <w:rPr>
          <w:rFonts w:asciiTheme="minorHAnsi" w:hAnsiTheme="minorHAnsi" w:cstheme="minorHAnsi"/>
          <w:color w:val="201F1E"/>
          <w:sz w:val="22"/>
          <w:szCs w:val="22"/>
        </w:rPr>
      </w:pPr>
    </w:p>
    <w:p w14:paraId="0F4BF910" w14:textId="5C785C70" w:rsidR="00D624B3" w:rsidRPr="00722DDC" w:rsidRDefault="00D624B3" w:rsidP="00722DDC">
      <w:pPr>
        <w:pStyle w:val="xdefault"/>
        <w:shd w:val="clear" w:color="auto" w:fill="FFFFFF"/>
        <w:spacing w:before="0" w:beforeAutospacing="0" w:after="0" w:afterAutospacing="0" w:line="276" w:lineRule="auto"/>
        <w:jc w:val="both"/>
        <w:rPr>
          <w:rFonts w:asciiTheme="minorHAnsi" w:hAnsiTheme="minorHAnsi" w:cstheme="minorHAnsi"/>
          <w:sz w:val="22"/>
          <w:szCs w:val="22"/>
          <w:bdr w:val="none" w:sz="0" w:space="0" w:color="auto" w:frame="1"/>
        </w:rPr>
      </w:pPr>
      <w:r w:rsidRPr="00722DDC">
        <w:rPr>
          <w:rFonts w:asciiTheme="minorHAnsi" w:hAnsiTheme="minorHAnsi" w:cstheme="minorHAnsi"/>
          <w:sz w:val="22"/>
          <w:szCs w:val="22"/>
          <w:bdr w:val="none" w:sz="0" w:space="0" w:color="auto" w:frame="1"/>
        </w:rPr>
        <w:t xml:space="preserve">O Comitê de Auditoria, vinculado diretamente ao Conselho de Administração, tem por finalidade assessorá-lo no cumprimento de suas responsabilidades de orientação e direção superior. Suas funções compreendem, mas não se limitam à análise e emissão de recomendações sobre: trabalhos da Auditoria Interna, contabilidade, auditoria independente, controles internos, gestão de riscos e financeira, a fim de conferir mais eficiência e eficácia às decisões do Conselho de Administração nos assuntos relacionados à sua área de atuação. </w:t>
      </w:r>
    </w:p>
    <w:p w14:paraId="709E957B" w14:textId="77777777" w:rsidR="00D624B3" w:rsidRPr="00722DDC" w:rsidRDefault="00D624B3" w:rsidP="00722DDC">
      <w:pPr>
        <w:pStyle w:val="xdefault"/>
        <w:shd w:val="clear" w:color="auto" w:fill="FFFFFF"/>
        <w:spacing w:before="0" w:beforeAutospacing="0" w:after="0" w:afterAutospacing="0" w:line="276" w:lineRule="auto"/>
        <w:jc w:val="both"/>
        <w:rPr>
          <w:rFonts w:asciiTheme="minorHAnsi" w:hAnsiTheme="minorHAnsi" w:cstheme="minorHAnsi"/>
          <w:sz w:val="22"/>
          <w:szCs w:val="22"/>
          <w:bdr w:val="none" w:sz="0" w:space="0" w:color="auto" w:frame="1"/>
        </w:rPr>
      </w:pPr>
    </w:p>
    <w:p w14:paraId="0ED97225" w14:textId="77777777" w:rsidR="00D624B3" w:rsidRPr="00722DDC" w:rsidRDefault="00D624B3" w:rsidP="00722DDC">
      <w:pPr>
        <w:pStyle w:val="xdefault"/>
        <w:shd w:val="clear" w:color="auto" w:fill="FFFFFF"/>
        <w:spacing w:before="0" w:beforeAutospacing="0" w:after="0" w:afterAutospacing="0"/>
        <w:jc w:val="both"/>
        <w:rPr>
          <w:rFonts w:asciiTheme="minorHAnsi" w:hAnsiTheme="minorHAnsi" w:cstheme="minorHAnsi"/>
          <w:color w:val="000000"/>
          <w:sz w:val="22"/>
          <w:szCs w:val="22"/>
        </w:rPr>
      </w:pPr>
      <w:r w:rsidRPr="00722DDC">
        <w:rPr>
          <w:rFonts w:asciiTheme="minorHAnsi" w:hAnsiTheme="minorHAnsi" w:cstheme="minorHAnsi"/>
          <w:sz w:val="22"/>
          <w:szCs w:val="22"/>
          <w:bdr w:val="none" w:sz="0" w:space="0" w:color="auto" w:frame="1"/>
        </w:rPr>
        <w:t>O COAUD, com as prerrogativas, atribuições e encargos previstos na legislação e regulamento aplicáveis, é composto por três membros efetivos, em sua maioria independentes, com mandato de três anos, não coincidente para cada membro, permitida uma (1) reeleição.</w:t>
      </w:r>
    </w:p>
    <w:p w14:paraId="741A1740" w14:textId="53FCB67D" w:rsidR="005623AB" w:rsidRPr="00722DDC" w:rsidRDefault="00D624B3" w:rsidP="00722DDC">
      <w:pPr>
        <w:pStyle w:val="xmsonormal"/>
        <w:shd w:val="clear" w:color="auto" w:fill="FFFFFF"/>
        <w:spacing w:before="0" w:beforeAutospacing="0" w:after="0" w:afterAutospacing="0" w:line="276" w:lineRule="auto"/>
        <w:jc w:val="both"/>
        <w:rPr>
          <w:rFonts w:asciiTheme="minorHAnsi" w:hAnsiTheme="minorHAnsi" w:cstheme="minorHAnsi"/>
          <w:color w:val="1F497D"/>
          <w:sz w:val="22"/>
          <w:szCs w:val="22"/>
          <w:bdr w:val="none" w:sz="0" w:space="0" w:color="auto" w:frame="1"/>
        </w:rPr>
      </w:pPr>
      <w:r w:rsidRPr="00722DDC">
        <w:rPr>
          <w:rFonts w:asciiTheme="minorHAnsi" w:hAnsiTheme="minorHAnsi" w:cstheme="minorHAnsi"/>
          <w:color w:val="1F497D"/>
          <w:sz w:val="22"/>
          <w:szCs w:val="22"/>
          <w:bdr w:val="none" w:sz="0" w:space="0" w:color="auto" w:frame="1"/>
        </w:rPr>
        <w:t> </w:t>
      </w:r>
    </w:p>
    <w:p w14:paraId="6411A640" w14:textId="6897E623" w:rsidR="00D624B3" w:rsidRPr="00722DDC" w:rsidRDefault="00016006" w:rsidP="00722DDC">
      <w:pPr>
        <w:pStyle w:val="NormalWeb"/>
        <w:shd w:val="clear" w:color="auto" w:fill="FFFFFF"/>
        <w:spacing w:before="0" w:beforeAutospacing="0" w:after="0" w:afterAutospacing="0" w:line="276" w:lineRule="auto"/>
        <w:jc w:val="both"/>
        <w:rPr>
          <w:rStyle w:val="xmsohyperlink"/>
          <w:rFonts w:asciiTheme="minorHAnsi" w:eastAsiaTheme="majorEastAsia" w:hAnsiTheme="minorHAnsi" w:cstheme="minorHAnsi"/>
          <w:color w:val="0D0D0D"/>
          <w:sz w:val="22"/>
          <w:szCs w:val="22"/>
          <w:u w:val="single"/>
          <w:bdr w:val="none" w:sz="0" w:space="0" w:color="auto" w:frame="1"/>
        </w:rPr>
      </w:pPr>
      <w:hyperlink r:id="rId32" w:tgtFrame="_blank" w:history="1">
        <w:r w:rsidR="00D624B3" w:rsidRPr="00722DDC">
          <w:rPr>
            <w:rStyle w:val="Hyperlink"/>
            <w:rFonts w:asciiTheme="minorHAnsi" w:hAnsiTheme="minorHAnsi" w:cstheme="minorHAnsi"/>
            <w:color w:val="0D0D0D"/>
            <w:sz w:val="22"/>
            <w:szCs w:val="22"/>
            <w:bdr w:val="none" w:sz="0" w:space="0" w:color="auto" w:frame="1"/>
          </w:rPr>
          <w:t>Comitê de Elegibilidade</w:t>
        </w:r>
      </w:hyperlink>
    </w:p>
    <w:p w14:paraId="1423D652" w14:textId="77777777" w:rsidR="00D624B3" w:rsidRPr="00722DDC" w:rsidRDefault="00D624B3" w:rsidP="00722DDC">
      <w:pPr>
        <w:pStyle w:val="NormalWeb"/>
        <w:shd w:val="clear" w:color="auto" w:fill="FFFFFF"/>
        <w:spacing w:before="0" w:beforeAutospacing="0" w:after="0" w:afterAutospacing="0" w:line="276" w:lineRule="auto"/>
        <w:jc w:val="both"/>
        <w:rPr>
          <w:rFonts w:asciiTheme="minorHAnsi" w:hAnsiTheme="minorHAnsi" w:cstheme="minorHAnsi"/>
          <w:color w:val="201F1E"/>
          <w:sz w:val="22"/>
          <w:szCs w:val="22"/>
        </w:rPr>
      </w:pPr>
    </w:p>
    <w:p w14:paraId="3DE1BEF0" w14:textId="77777777" w:rsidR="00D624B3" w:rsidRPr="00722DDC" w:rsidRDefault="00016006" w:rsidP="00722DDC">
      <w:pPr>
        <w:pStyle w:val="NormalWeb"/>
        <w:shd w:val="clear" w:color="auto" w:fill="FFFFFF"/>
        <w:spacing w:before="0" w:beforeAutospacing="0" w:after="0" w:afterAutospacing="0" w:line="276" w:lineRule="auto"/>
        <w:jc w:val="both"/>
        <w:rPr>
          <w:rFonts w:asciiTheme="minorHAnsi" w:hAnsiTheme="minorHAnsi" w:cstheme="minorHAnsi"/>
          <w:color w:val="201F1E"/>
          <w:sz w:val="22"/>
          <w:szCs w:val="22"/>
        </w:rPr>
      </w:pPr>
      <w:hyperlink r:id="rId33" w:tgtFrame="_blank" w:history="1">
        <w:r w:rsidR="00D624B3" w:rsidRPr="00722DDC">
          <w:rPr>
            <w:rStyle w:val="Hyperlink"/>
            <w:rFonts w:asciiTheme="minorHAnsi" w:hAnsiTheme="minorHAnsi" w:cstheme="minorHAnsi"/>
            <w:color w:val="0D0D0D"/>
            <w:sz w:val="22"/>
            <w:szCs w:val="22"/>
            <w:u w:val="none"/>
            <w:bdr w:val="none" w:sz="0" w:space="0" w:color="auto" w:frame="1"/>
          </w:rPr>
          <w:t>O Comitê de Elegibilidade é constituído por três membros que auxiliam o acionista controlador na verificação da conformidade do preenchimento dos requisitos e na ausência de vedações para as respectivas eleições dos administradores, membros do Conselho Fiscal e do Comitê de Auditoria Estatutário.</w:t>
        </w:r>
      </w:hyperlink>
      <w:r w:rsidR="00D624B3" w:rsidRPr="00722DDC">
        <w:rPr>
          <w:rStyle w:val="xmsohyperlink"/>
          <w:rFonts w:asciiTheme="minorHAnsi" w:eastAsiaTheme="majorEastAsia" w:hAnsiTheme="minorHAnsi" w:cstheme="minorHAnsi"/>
          <w:color w:val="0D0D0D"/>
          <w:sz w:val="22"/>
          <w:szCs w:val="22"/>
          <w:bdr w:val="none" w:sz="0" w:space="0" w:color="auto" w:frame="1"/>
        </w:rPr>
        <w:t> Esse comitê delibera por maioria de votos, com registro em ata.</w:t>
      </w:r>
    </w:p>
    <w:p w14:paraId="1866CB0A" w14:textId="77777777" w:rsidR="00D624B3" w:rsidRPr="00722DDC" w:rsidRDefault="00D624B3" w:rsidP="00722DDC">
      <w:pPr>
        <w:spacing w:after="0" w:line="276" w:lineRule="auto"/>
        <w:jc w:val="both"/>
        <w:rPr>
          <w:rFonts w:eastAsia="Times New Roman" w:cstheme="minorHAnsi"/>
          <w:color w:val="0D0D0D" w:themeColor="text1" w:themeTint="F2"/>
          <w:u w:val="single"/>
          <w:shd w:val="clear" w:color="auto" w:fill="FFFFFF"/>
          <w:lang w:eastAsia="pt-BR"/>
        </w:rPr>
      </w:pPr>
    </w:p>
    <w:p w14:paraId="3A880DE8" w14:textId="77777777" w:rsidR="00D624B3" w:rsidRPr="00722DDC" w:rsidRDefault="00D624B3" w:rsidP="00722DDC">
      <w:pPr>
        <w:pStyle w:val="NormalWeb"/>
        <w:shd w:val="clear" w:color="auto" w:fill="FFFFFF"/>
        <w:spacing w:before="0" w:beforeAutospacing="0" w:after="0" w:afterAutospacing="0" w:line="276" w:lineRule="auto"/>
        <w:jc w:val="both"/>
        <w:rPr>
          <w:rStyle w:val="Hyperlink"/>
          <w:rFonts w:asciiTheme="minorHAnsi" w:eastAsiaTheme="minorHAnsi" w:hAnsiTheme="minorHAnsi" w:cstheme="minorHAnsi"/>
          <w:color w:val="0D0D0D"/>
          <w:sz w:val="22"/>
          <w:szCs w:val="22"/>
          <w:bdr w:val="none" w:sz="0" w:space="0" w:color="auto" w:frame="1"/>
          <w:lang w:eastAsia="en-US"/>
        </w:rPr>
      </w:pPr>
      <w:r w:rsidRPr="00722DDC">
        <w:rPr>
          <w:rStyle w:val="Hyperlink"/>
          <w:rFonts w:asciiTheme="minorHAnsi" w:hAnsiTheme="minorHAnsi" w:cstheme="minorHAnsi"/>
          <w:color w:val="0D0D0D"/>
          <w:sz w:val="22"/>
          <w:szCs w:val="22"/>
          <w:bdr w:val="none" w:sz="0" w:space="0" w:color="auto" w:frame="1"/>
        </w:rPr>
        <w:t>Auditoria Externa</w:t>
      </w:r>
    </w:p>
    <w:p w14:paraId="108A5DDE" w14:textId="77777777" w:rsidR="00D624B3" w:rsidRPr="00722DDC" w:rsidRDefault="00D624B3"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p>
    <w:p w14:paraId="273FC64C" w14:textId="77777777" w:rsidR="00D624B3" w:rsidRPr="00722DDC" w:rsidRDefault="00D624B3"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u w:val="none"/>
          <w:bdr w:val="none" w:sz="0" w:space="0" w:color="auto" w:frame="1"/>
        </w:rPr>
      </w:pPr>
      <w:r w:rsidRPr="00722DDC">
        <w:rPr>
          <w:rStyle w:val="Hyperlink"/>
          <w:rFonts w:asciiTheme="minorHAnsi" w:hAnsiTheme="minorHAnsi" w:cstheme="minorHAnsi"/>
          <w:color w:val="0D0D0D"/>
          <w:sz w:val="22"/>
          <w:szCs w:val="22"/>
          <w:u w:val="none"/>
          <w:bdr w:val="none" w:sz="0" w:space="0" w:color="auto" w:frame="1"/>
        </w:rPr>
        <w:t xml:space="preserve">A Auditoria Externa é responsável por auditar as demonstrações contábeis trimestrais e anuais da </w:t>
      </w:r>
      <w:proofErr w:type="spellStart"/>
      <w:r w:rsidRPr="00722DDC">
        <w:rPr>
          <w:rStyle w:val="Hyperlink"/>
          <w:rFonts w:asciiTheme="minorHAnsi" w:hAnsiTheme="minorHAnsi" w:cstheme="minorHAnsi"/>
          <w:color w:val="0D0D0D"/>
          <w:sz w:val="22"/>
          <w:szCs w:val="22"/>
          <w:u w:val="none"/>
          <w:bdr w:val="none" w:sz="0" w:space="0" w:color="auto" w:frame="1"/>
        </w:rPr>
        <w:t>Pré</w:t>
      </w:r>
      <w:proofErr w:type="spellEnd"/>
      <w:r w:rsidRPr="00722DDC">
        <w:rPr>
          <w:rStyle w:val="Hyperlink"/>
          <w:rFonts w:asciiTheme="minorHAnsi" w:hAnsiTheme="minorHAnsi" w:cstheme="minorHAnsi"/>
          <w:color w:val="0D0D0D"/>
          <w:sz w:val="22"/>
          <w:szCs w:val="22"/>
          <w:u w:val="none"/>
          <w:bdr w:val="none" w:sz="0" w:space="0" w:color="auto" w:frame="1"/>
        </w:rPr>
        <w:t>-Sal Petróleo.</w:t>
      </w:r>
    </w:p>
    <w:p w14:paraId="54A7115F" w14:textId="77777777" w:rsidR="00D624B3" w:rsidRPr="00722DDC" w:rsidRDefault="00D624B3" w:rsidP="00722DDC">
      <w:pPr>
        <w:pStyle w:val="NormalWeb"/>
        <w:shd w:val="clear" w:color="auto" w:fill="FFFFFF"/>
        <w:spacing w:before="0" w:beforeAutospacing="0" w:after="0" w:afterAutospacing="0" w:line="276" w:lineRule="auto"/>
        <w:jc w:val="both"/>
        <w:rPr>
          <w:rStyle w:val="Hyperlink"/>
          <w:rFonts w:asciiTheme="minorHAnsi" w:hAnsiTheme="minorHAnsi" w:cstheme="minorHAnsi"/>
          <w:color w:val="0D0D0D"/>
          <w:sz w:val="22"/>
          <w:szCs w:val="22"/>
          <w:bdr w:val="none" w:sz="0" w:space="0" w:color="auto" w:frame="1"/>
        </w:rPr>
      </w:pPr>
    </w:p>
    <w:p w14:paraId="28525975" w14:textId="107F1BF1" w:rsidR="00D624B3" w:rsidRPr="00C00AE5" w:rsidRDefault="00D624B3" w:rsidP="00722DDC">
      <w:pPr>
        <w:spacing w:line="276" w:lineRule="auto"/>
        <w:jc w:val="both"/>
        <w:rPr>
          <w:rFonts w:cstheme="minorHAnsi"/>
          <w:bCs/>
          <w:color w:val="0D0D0D" w:themeColor="text1" w:themeTint="F2"/>
          <w:u w:val="single"/>
        </w:rPr>
      </w:pPr>
      <w:r w:rsidRPr="00C00AE5">
        <w:rPr>
          <w:rFonts w:cstheme="minorHAnsi"/>
          <w:bCs/>
          <w:color w:val="0D0D0D" w:themeColor="text1" w:themeTint="F2"/>
          <w:u w:val="single"/>
        </w:rPr>
        <w:t>Marcos d</w:t>
      </w:r>
      <w:r w:rsidR="005623AB" w:rsidRPr="00C00AE5">
        <w:rPr>
          <w:rFonts w:cstheme="minorHAnsi"/>
          <w:bCs/>
          <w:color w:val="0D0D0D" w:themeColor="text1" w:themeTint="F2"/>
          <w:u w:val="single"/>
        </w:rPr>
        <w:t>a governança corporativa em</w:t>
      </w:r>
      <w:r w:rsidRPr="00C00AE5">
        <w:rPr>
          <w:rFonts w:cstheme="minorHAnsi"/>
          <w:bCs/>
          <w:color w:val="0D0D0D" w:themeColor="text1" w:themeTint="F2"/>
          <w:u w:val="single"/>
        </w:rPr>
        <w:t xml:space="preserve"> 2019</w:t>
      </w:r>
    </w:p>
    <w:p w14:paraId="7A3E9F36" w14:textId="77777777" w:rsidR="00D624B3" w:rsidRPr="00722DDC" w:rsidRDefault="00D624B3" w:rsidP="00722DDC">
      <w:pPr>
        <w:pStyle w:val="PargrafodaLista"/>
        <w:widowControl/>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Eleição de novos membros para a diretoria e conselhos de Administração e Fiscal.</w:t>
      </w:r>
    </w:p>
    <w:p w14:paraId="4F6EE648" w14:textId="77777777" w:rsidR="00D624B3" w:rsidRPr="00722DDC" w:rsidRDefault="00D624B3" w:rsidP="00722DDC">
      <w:pPr>
        <w:pStyle w:val="PargrafodaLista"/>
        <w:widowControl/>
        <w:numPr>
          <w:ilvl w:val="0"/>
          <w:numId w:val="26"/>
        </w:numPr>
        <w:spacing w:line="276" w:lineRule="auto"/>
        <w:jc w:val="both"/>
        <w:rPr>
          <w:rFonts w:asciiTheme="minorHAnsi" w:hAnsiTheme="minorHAnsi" w:cstheme="minorHAnsi"/>
        </w:rPr>
      </w:pPr>
      <w:r w:rsidRPr="00722DDC">
        <w:rPr>
          <w:rFonts w:asciiTheme="minorHAnsi" w:hAnsiTheme="minorHAnsi" w:cstheme="minorHAnsi"/>
          <w:color w:val="0D0D0D" w:themeColor="text1" w:themeTint="F2"/>
        </w:rPr>
        <w:t xml:space="preserve">Início de atuação do Comitê de Auditoria </w:t>
      </w:r>
      <w:r w:rsidRPr="00722DDC">
        <w:rPr>
          <w:rFonts w:asciiTheme="minorHAnsi" w:hAnsiTheme="minorHAnsi" w:cstheme="minorHAnsi"/>
        </w:rPr>
        <w:t>(COAUD).</w:t>
      </w:r>
    </w:p>
    <w:p w14:paraId="6C85482C" w14:textId="77777777" w:rsidR="00D624B3" w:rsidRPr="00722DDC" w:rsidRDefault="00D624B3" w:rsidP="00722DDC">
      <w:pPr>
        <w:pStyle w:val="PargrafodaLista"/>
        <w:numPr>
          <w:ilvl w:val="0"/>
          <w:numId w:val="26"/>
        </w:numPr>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Associação ao Instituto Brasileiro de Governança Corporativa (IBGC).</w:t>
      </w:r>
    </w:p>
    <w:p w14:paraId="502EAF07" w14:textId="77777777" w:rsidR="00D624B3" w:rsidRPr="00722DDC" w:rsidRDefault="00D624B3" w:rsidP="00722DDC">
      <w:pPr>
        <w:pStyle w:val="PargrafodaLista"/>
        <w:widowControl/>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das demonstrações contábeis relativas ao exercício social de 2018.</w:t>
      </w:r>
    </w:p>
    <w:p w14:paraId="29FD80E0" w14:textId="77777777" w:rsidR="00D624B3" w:rsidRPr="00722DDC" w:rsidRDefault="00D624B3" w:rsidP="00722DDC">
      <w:pPr>
        <w:pStyle w:val="PargrafodaLista"/>
        <w:widowControl/>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do Programa de Dispêndios Globais (PDG) e Orçamento de Investimentos (OI) de 2020.</w:t>
      </w:r>
    </w:p>
    <w:p w14:paraId="7D45E956" w14:textId="77777777" w:rsidR="00D624B3" w:rsidRPr="00722DDC" w:rsidRDefault="00D624B3" w:rsidP="00722DDC">
      <w:pPr>
        <w:pStyle w:val="PargrafodaLista"/>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da Política de Transações com Partes Relacionadas.</w:t>
      </w:r>
    </w:p>
    <w:p w14:paraId="7E1591E2" w14:textId="77777777" w:rsidR="00D624B3" w:rsidRPr="00722DDC" w:rsidRDefault="00D624B3" w:rsidP="00722DDC">
      <w:pPr>
        <w:pStyle w:val="PargrafodaLista"/>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do Plano Anual de Negócios 2020.</w:t>
      </w:r>
    </w:p>
    <w:p w14:paraId="1C8A7EDE" w14:textId="77777777" w:rsidR="00D624B3" w:rsidRPr="00722DDC" w:rsidRDefault="00D624B3" w:rsidP="00722DDC">
      <w:pPr>
        <w:pStyle w:val="PargrafodaLista"/>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 xml:space="preserve">Contratação de empresa para implantação do Programa de Integridade. </w:t>
      </w:r>
    </w:p>
    <w:p w14:paraId="0831D68E" w14:textId="77777777" w:rsidR="00D624B3" w:rsidRPr="00722DDC" w:rsidRDefault="00D624B3" w:rsidP="00722DDC">
      <w:pPr>
        <w:pStyle w:val="PargrafodaLista"/>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 xml:space="preserve">Aprovação de alteração do Estatuto Social da PPSA. </w:t>
      </w:r>
    </w:p>
    <w:p w14:paraId="7B00B922" w14:textId="77777777" w:rsidR="00D624B3" w:rsidRPr="00722DDC" w:rsidRDefault="00D624B3" w:rsidP="00722DDC">
      <w:pPr>
        <w:pStyle w:val="PargrafodaLista"/>
        <w:numPr>
          <w:ilvl w:val="0"/>
          <w:numId w:val="26"/>
        </w:numPr>
        <w:spacing w:line="276" w:lineRule="auto"/>
        <w:jc w:val="both"/>
        <w:rPr>
          <w:rFonts w:asciiTheme="minorHAnsi" w:hAnsiTheme="minorHAnsi" w:cstheme="minorHAnsi"/>
          <w:color w:val="0D0D0D" w:themeColor="text1" w:themeTint="F2"/>
        </w:rPr>
      </w:pPr>
      <w:r w:rsidRPr="00722DDC">
        <w:rPr>
          <w:rFonts w:asciiTheme="minorHAnsi" w:hAnsiTheme="minorHAnsi" w:cstheme="minorHAnsi"/>
          <w:color w:val="0D0D0D" w:themeColor="text1" w:themeTint="F2"/>
        </w:rPr>
        <w:t>Aprovação do Planejamento Estratégico 2020-2024.</w:t>
      </w:r>
    </w:p>
    <w:p w14:paraId="7A066626" w14:textId="65CB4C5A" w:rsidR="00387C98" w:rsidRPr="00722DDC" w:rsidRDefault="00387C98" w:rsidP="00722DDC">
      <w:pPr>
        <w:pStyle w:val="Default"/>
        <w:jc w:val="both"/>
        <w:rPr>
          <w:rFonts w:asciiTheme="minorHAnsi" w:hAnsiTheme="minorHAnsi" w:cstheme="minorHAnsi"/>
          <w:color w:val="008192"/>
          <w:sz w:val="22"/>
          <w:szCs w:val="22"/>
        </w:rPr>
      </w:pPr>
    </w:p>
    <w:p w14:paraId="5910C47A" w14:textId="04BCC3AB" w:rsidR="00387C98" w:rsidRPr="00722DDC" w:rsidRDefault="00387C98" w:rsidP="00722DDC">
      <w:pPr>
        <w:pStyle w:val="Default"/>
        <w:jc w:val="both"/>
        <w:rPr>
          <w:rFonts w:asciiTheme="minorHAnsi" w:hAnsiTheme="minorHAnsi" w:cstheme="minorHAnsi"/>
          <w:color w:val="008192"/>
          <w:sz w:val="22"/>
          <w:szCs w:val="22"/>
        </w:rPr>
      </w:pPr>
    </w:p>
    <w:p w14:paraId="28C260E6" w14:textId="169BD3D5" w:rsidR="00BF252A" w:rsidRPr="00722DDC" w:rsidRDefault="00BF252A"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Descrição da composição e da remuneração da administração</w:t>
      </w:r>
    </w:p>
    <w:p w14:paraId="1E68F410" w14:textId="77777777" w:rsidR="00BF252A" w:rsidRPr="00722DDC" w:rsidRDefault="00BF252A" w:rsidP="00722DDC">
      <w:pPr>
        <w:pStyle w:val="Default"/>
        <w:jc w:val="both"/>
        <w:rPr>
          <w:rFonts w:asciiTheme="minorHAnsi" w:hAnsiTheme="minorHAnsi" w:cstheme="minorHAnsi"/>
          <w:sz w:val="22"/>
          <w:szCs w:val="22"/>
        </w:rPr>
      </w:pPr>
    </w:p>
    <w:p w14:paraId="2833C0E6" w14:textId="77777777" w:rsidR="00BF252A" w:rsidRPr="00722DDC" w:rsidRDefault="00BF252A"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Para dar suporte ao crescimento das atividades da empresa, o quadro de pessoal foi reforçado em 2019. A companhia iniciou o ano com uma equipe de 30 empregados, 14 profissionais temporários (com período de permanência até 31 de dezembro de 2019) e quatro diretores. Diante do aumento previsto de demanda de trabalho para os próximos anos, a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-Sal Petróleo obteve autorização da Secretaria de Coordenação e Governança das Empresas Estatais (SEST) para expansão do quadro de livre provimento de 30 para 53 posições. Parte da nova equipe foi contratada no último bimestre de 2019. </w:t>
      </w:r>
    </w:p>
    <w:p w14:paraId="0350086C" w14:textId="77777777" w:rsidR="00BF252A" w:rsidRPr="00722DDC" w:rsidRDefault="00BF252A" w:rsidP="00722DDC">
      <w:pPr>
        <w:pStyle w:val="Default"/>
        <w:jc w:val="both"/>
        <w:rPr>
          <w:rFonts w:asciiTheme="minorHAnsi" w:hAnsiTheme="minorHAnsi" w:cstheme="minorHAnsi"/>
          <w:sz w:val="22"/>
          <w:szCs w:val="22"/>
        </w:rPr>
      </w:pPr>
    </w:p>
    <w:p w14:paraId="6868DD56" w14:textId="73DB3C67" w:rsidR="00BF252A" w:rsidRPr="00722DDC" w:rsidRDefault="00BF252A"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Dessa forma, o quadro de pessoal </w:t>
      </w:r>
      <w:r w:rsidR="00C8441B">
        <w:rPr>
          <w:rFonts w:asciiTheme="minorHAnsi" w:hAnsiTheme="minorHAnsi" w:cstheme="minorHAnsi"/>
          <w:sz w:val="22"/>
          <w:szCs w:val="22"/>
        </w:rPr>
        <w:t xml:space="preserve">da PPSA em 2019 foi fixado em </w:t>
      </w:r>
      <w:r w:rsidRPr="00722DDC">
        <w:rPr>
          <w:rFonts w:asciiTheme="minorHAnsi" w:hAnsiTheme="minorHAnsi" w:cstheme="minorHAnsi"/>
          <w:sz w:val="22"/>
          <w:szCs w:val="22"/>
        </w:rPr>
        <w:t xml:space="preserve">até 150 empregados concursados e 53 posições de livre provimento. Cerca de 80% dos profissionais da empresa possuem cursos de especialização, mestrado ou doutorado. Em 2019, a equipe participou de diversos eventos técnicos do setor, para aprimorar seus conhecimentos, e realizou palestras em eventos nacionais e internacionais sobre a gestão dos </w:t>
      </w:r>
      <w:r w:rsidRPr="009C262E">
        <w:rPr>
          <w:rFonts w:asciiTheme="minorHAnsi" w:hAnsiTheme="minorHAnsi" w:cstheme="minorHAnsi"/>
          <w:sz w:val="22"/>
          <w:szCs w:val="22"/>
        </w:rPr>
        <w:t>contratos de partilha de produção</w:t>
      </w:r>
      <w:r w:rsidRPr="00C00AE5">
        <w:rPr>
          <w:rFonts w:asciiTheme="minorHAnsi" w:hAnsiTheme="minorHAnsi" w:cstheme="minorHAnsi"/>
          <w:sz w:val="22"/>
          <w:szCs w:val="22"/>
        </w:rPr>
        <w:t xml:space="preserve">, a representação da União nos contratos de </w:t>
      </w:r>
      <w:r w:rsidR="00BD22A3">
        <w:rPr>
          <w:rFonts w:asciiTheme="minorHAnsi" w:hAnsiTheme="minorHAnsi" w:cstheme="minorHAnsi"/>
          <w:sz w:val="22"/>
          <w:szCs w:val="22"/>
        </w:rPr>
        <w:t xml:space="preserve">individualização </w:t>
      </w:r>
      <w:r w:rsidRPr="00C00AE5">
        <w:rPr>
          <w:rFonts w:asciiTheme="minorHAnsi" w:hAnsiTheme="minorHAnsi" w:cstheme="minorHAnsi"/>
          <w:sz w:val="22"/>
          <w:szCs w:val="22"/>
        </w:rPr>
        <w:t>e a comercialização</w:t>
      </w:r>
      <w:r w:rsidRPr="00722DDC">
        <w:rPr>
          <w:rFonts w:asciiTheme="minorHAnsi" w:hAnsiTheme="minorHAnsi" w:cstheme="minorHAnsi"/>
          <w:sz w:val="22"/>
          <w:szCs w:val="22"/>
        </w:rPr>
        <w:t xml:space="preserve"> do petróleo e gás. </w:t>
      </w:r>
    </w:p>
    <w:p w14:paraId="1373C610" w14:textId="77777777" w:rsidR="00BF252A" w:rsidRPr="00722DDC" w:rsidRDefault="00BF252A" w:rsidP="00722DDC">
      <w:pPr>
        <w:pStyle w:val="Default"/>
        <w:jc w:val="both"/>
        <w:rPr>
          <w:rFonts w:asciiTheme="minorHAnsi" w:hAnsiTheme="minorHAnsi" w:cstheme="minorHAnsi"/>
          <w:sz w:val="22"/>
          <w:szCs w:val="22"/>
        </w:rPr>
      </w:pPr>
    </w:p>
    <w:p w14:paraId="77947A6C" w14:textId="52BA0339" w:rsidR="00BF252A" w:rsidRPr="00722DDC" w:rsidRDefault="00BF252A" w:rsidP="00722DDC">
      <w:pPr>
        <w:pStyle w:val="Default"/>
        <w:jc w:val="both"/>
        <w:rPr>
          <w:rFonts w:asciiTheme="minorHAnsi" w:hAnsiTheme="minorHAnsi" w:cstheme="minorHAnsi"/>
          <w:sz w:val="22"/>
          <w:szCs w:val="22"/>
        </w:rPr>
      </w:pPr>
      <w:r w:rsidRPr="00722DDC">
        <w:rPr>
          <w:rFonts w:asciiTheme="minorHAnsi" w:hAnsiTheme="minorHAnsi" w:cstheme="minorHAnsi"/>
          <w:sz w:val="22"/>
          <w:szCs w:val="22"/>
        </w:rPr>
        <w:t xml:space="preserve">Para preparar a empresa para um futuro processo seletivo público, foi revisado o Plano de Cargos e Salários (PCS) e desenvolvida uma proposta para a criação do Plano de Funções, com suporte de uma consultoria externa especializada no tema. </w:t>
      </w:r>
    </w:p>
    <w:p w14:paraId="50F2DBE3" w14:textId="77777777" w:rsidR="00BF252A" w:rsidRPr="00722DDC" w:rsidRDefault="00BF252A" w:rsidP="00722DDC">
      <w:pPr>
        <w:pStyle w:val="Default"/>
        <w:jc w:val="both"/>
        <w:rPr>
          <w:rFonts w:asciiTheme="minorHAnsi" w:hAnsiTheme="minorHAnsi" w:cstheme="minorHAnsi"/>
          <w:sz w:val="22"/>
          <w:szCs w:val="22"/>
        </w:rPr>
      </w:pPr>
    </w:p>
    <w:p w14:paraId="178D3AEC" w14:textId="16297ED1" w:rsidR="00BF252A" w:rsidRPr="00722DDC" w:rsidRDefault="00BF252A" w:rsidP="00722DDC">
      <w:pPr>
        <w:pStyle w:val="Default"/>
        <w:jc w:val="both"/>
        <w:rPr>
          <w:rFonts w:asciiTheme="minorHAnsi" w:hAnsiTheme="minorHAnsi" w:cstheme="minorHAnsi"/>
          <w:color w:val="008192"/>
          <w:sz w:val="22"/>
          <w:szCs w:val="22"/>
        </w:rPr>
      </w:pPr>
      <w:r w:rsidRPr="00722DDC">
        <w:rPr>
          <w:rFonts w:asciiTheme="minorHAnsi" w:hAnsiTheme="minorHAnsi" w:cstheme="minorHAnsi"/>
          <w:sz w:val="22"/>
          <w:szCs w:val="22"/>
        </w:rPr>
        <w:t xml:space="preserve">A alta liderança da empresa está comprometida em manter um ambiente colaborativo, trabalhando de “portas abertas” e integrada à equipe. Para dar apoio às atividades, a </w:t>
      </w:r>
      <w:proofErr w:type="spellStart"/>
      <w:r w:rsidRPr="00722DDC">
        <w:rPr>
          <w:rFonts w:asciiTheme="minorHAnsi" w:hAnsiTheme="minorHAnsi" w:cstheme="minorHAnsi"/>
          <w:sz w:val="22"/>
          <w:szCs w:val="22"/>
        </w:rPr>
        <w:t>Pré</w:t>
      </w:r>
      <w:proofErr w:type="spellEnd"/>
      <w:r w:rsidRPr="00722DDC">
        <w:rPr>
          <w:rFonts w:asciiTheme="minorHAnsi" w:hAnsiTheme="minorHAnsi" w:cstheme="minorHAnsi"/>
          <w:sz w:val="22"/>
          <w:szCs w:val="22"/>
        </w:rPr>
        <w:t xml:space="preserve">-Sal Petróleo mantém </w:t>
      </w:r>
      <w:r w:rsidRPr="00722DDC">
        <w:rPr>
          <w:rFonts w:asciiTheme="minorHAnsi" w:hAnsiTheme="minorHAnsi" w:cstheme="minorHAnsi"/>
          <w:sz w:val="22"/>
          <w:szCs w:val="22"/>
        </w:rPr>
        <w:lastRenderedPageBreak/>
        <w:t xml:space="preserve">contratos de prestação de serviços nas áreas de secretaria, </w:t>
      </w:r>
      <w:r w:rsidRPr="00C00AE5">
        <w:rPr>
          <w:rFonts w:asciiTheme="minorHAnsi" w:hAnsiTheme="minorHAnsi" w:cstheme="minorHAnsi"/>
          <w:i/>
          <w:sz w:val="22"/>
          <w:szCs w:val="22"/>
        </w:rPr>
        <w:t xml:space="preserve">help </w:t>
      </w:r>
      <w:proofErr w:type="spellStart"/>
      <w:r w:rsidRPr="00C00AE5">
        <w:rPr>
          <w:rFonts w:asciiTheme="minorHAnsi" w:hAnsiTheme="minorHAnsi" w:cstheme="minorHAnsi"/>
          <w:i/>
          <w:sz w:val="22"/>
          <w:szCs w:val="22"/>
        </w:rPr>
        <w:t>desk</w:t>
      </w:r>
      <w:proofErr w:type="spellEnd"/>
      <w:r w:rsidRPr="00722DDC">
        <w:rPr>
          <w:rFonts w:asciiTheme="minorHAnsi" w:hAnsiTheme="minorHAnsi" w:cstheme="minorHAnsi"/>
          <w:sz w:val="22"/>
          <w:szCs w:val="22"/>
        </w:rPr>
        <w:t xml:space="preserve"> e serviços gerais, bem como dois estagiários para dar suporte à Consultoria Jurídica e à Auditoria Interna.</w:t>
      </w:r>
    </w:p>
    <w:p w14:paraId="2DFD4BB1" w14:textId="77777777" w:rsidR="00BF252A" w:rsidRPr="00722DDC" w:rsidRDefault="00BF252A" w:rsidP="00722DDC">
      <w:pPr>
        <w:pStyle w:val="Default"/>
        <w:jc w:val="both"/>
        <w:rPr>
          <w:rFonts w:asciiTheme="minorHAnsi" w:hAnsiTheme="minorHAnsi" w:cstheme="minorHAnsi"/>
          <w:color w:val="008192"/>
          <w:sz w:val="22"/>
          <w:szCs w:val="22"/>
        </w:rPr>
      </w:pPr>
    </w:p>
    <w:p w14:paraId="60FBE3F7" w14:textId="33AE7F14" w:rsidR="00BF252A" w:rsidRPr="00722DDC" w:rsidRDefault="00BF252A" w:rsidP="00722DDC">
      <w:pPr>
        <w:pStyle w:val="Default"/>
        <w:jc w:val="both"/>
        <w:rPr>
          <w:rFonts w:asciiTheme="minorHAnsi" w:hAnsiTheme="minorHAnsi" w:cstheme="minorHAnsi"/>
          <w:color w:val="008192"/>
          <w:sz w:val="22"/>
          <w:szCs w:val="22"/>
        </w:rPr>
      </w:pPr>
      <w:r w:rsidRPr="00722DDC">
        <w:rPr>
          <w:rFonts w:asciiTheme="minorHAnsi" w:hAnsiTheme="minorHAnsi" w:cstheme="minorHAnsi"/>
          <w:sz w:val="22"/>
          <w:szCs w:val="22"/>
        </w:rPr>
        <w:t>A remuneração global dos administradores é aprovada na Assembleia</w:t>
      </w:r>
      <w:r w:rsidR="00805CBE">
        <w:rPr>
          <w:rFonts w:asciiTheme="minorHAnsi" w:hAnsiTheme="minorHAnsi" w:cstheme="minorHAnsi"/>
          <w:sz w:val="22"/>
          <w:szCs w:val="22"/>
        </w:rPr>
        <w:t>-</w:t>
      </w:r>
      <w:r w:rsidRPr="00722DDC">
        <w:rPr>
          <w:rFonts w:asciiTheme="minorHAnsi" w:hAnsiTheme="minorHAnsi" w:cstheme="minorHAnsi"/>
          <w:sz w:val="22"/>
          <w:szCs w:val="22"/>
        </w:rPr>
        <w:t xml:space="preserve">Geral realizada anualmente. Os benefícios </w:t>
      </w:r>
      <w:r w:rsidR="00805CBE">
        <w:rPr>
          <w:rFonts w:asciiTheme="minorHAnsi" w:hAnsiTheme="minorHAnsi" w:cstheme="minorHAnsi"/>
          <w:sz w:val="22"/>
          <w:szCs w:val="22"/>
        </w:rPr>
        <w:t xml:space="preserve">se </w:t>
      </w:r>
      <w:r w:rsidRPr="00722DDC">
        <w:rPr>
          <w:rFonts w:asciiTheme="minorHAnsi" w:hAnsiTheme="minorHAnsi" w:cstheme="minorHAnsi"/>
          <w:sz w:val="22"/>
          <w:szCs w:val="22"/>
        </w:rPr>
        <w:t>referem a auxílio</w:t>
      </w:r>
      <w:r w:rsidR="00805CBE">
        <w:rPr>
          <w:rFonts w:asciiTheme="minorHAnsi" w:hAnsiTheme="minorHAnsi" w:cstheme="minorHAnsi"/>
          <w:sz w:val="22"/>
          <w:szCs w:val="22"/>
        </w:rPr>
        <w:t>-</w:t>
      </w:r>
      <w:r w:rsidRPr="00722DDC">
        <w:rPr>
          <w:rFonts w:asciiTheme="minorHAnsi" w:hAnsiTheme="minorHAnsi" w:cstheme="minorHAnsi"/>
          <w:sz w:val="22"/>
          <w:szCs w:val="22"/>
        </w:rPr>
        <w:t>refeição e plano de saúde. A remuneração individual máxima, mínima e média do Conselho de Administração, da Diretoria Executiva, do Conselho Fiscal e do Comitê de Auditoria Estatutária, em 2019, encontra-se na tabela a seguir:</w:t>
      </w:r>
    </w:p>
    <w:p w14:paraId="520013B9" w14:textId="77777777" w:rsidR="00BF252A" w:rsidRPr="00722DDC" w:rsidRDefault="00BF252A" w:rsidP="00722DDC">
      <w:pPr>
        <w:pStyle w:val="Default"/>
        <w:jc w:val="both"/>
        <w:rPr>
          <w:rFonts w:asciiTheme="minorHAnsi" w:hAnsiTheme="minorHAnsi" w:cstheme="minorHAnsi"/>
          <w:color w:val="008192"/>
          <w:sz w:val="22"/>
          <w:szCs w:val="22"/>
        </w:rPr>
      </w:pPr>
    </w:p>
    <w:p w14:paraId="1D23DB11" w14:textId="6BD01D3C" w:rsidR="0036307B" w:rsidRPr="00722DDC" w:rsidRDefault="0036307B" w:rsidP="00722DDC">
      <w:pPr>
        <w:jc w:val="both"/>
        <w:rPr>
          <w:rFonts w:cstheme="minorHAnsi"/>
        </w:rPr>
      </w:pPr>
      <w:r w:rsidRPr="00722DDC">
        <w:rPr>
          <w:rFonts w:cstheme="minorHAnsi"/>
          <w:noProof/>
          <w:lang w:eastAsia="pt-BR"/>
        </w:rPr>
        <w:drawing>
          <wp:inline distT="0" distB="0" distL="0" distR="0" wp14:anchorId="3C4CD562" wp14:editId="2B211E54">
            <wp:extent cx="5676900" cy="2337783"/>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4889" cy="2345191"/>
                    </a:xfrm>
                    <a:prstGeom prst="rect">
                      <a:avLst/>
                    </a:prstGeom>
                  </pic:spPr>
                </pic:pic>
              </a:graphicData>
            </a:graphic>
          </wp:inline>
        </w:drawing>
      </w:r>
    </w:p>
    <w:p w14:paraId="24923511" w14:textId="77777777" w:rsidR="00C8441B" w:rsidRDefault="00C8441B" w:rsidP="00722DDC">
      <w:pPr>
        <w:pStyle w:val="Default"/>
        <w:jc w:val="both"/>
        <w:rPr>
          <w:rFonts w:asciiTheme="minorHAnsi" w:hAnsiTheme="minorHAnsi" w:cstheme="minorHAnsi"/>
          <w:b/>
          <w:bCs/>
          <w:color w:val="008192"/>
          <w:sz w:val="22"/>
          <w:szCs w:val="22"/>
        </w:rPr>
      </w:pPr>
    </w:p>
    <w:p w14:paraId="28A435C0" w14:textId="451A7F4B" w:rsidR="00BF252A" w:rsidRPr="00722DDC" w:rsidRDefault="00BF252A" w:rsidP="00722DDC">
      <w:pPr>
        <w:pStyle w:val="Default"/>
        <w:jc w:val="both"/>
        <w:rPr>
          <w:rFonts w:asciiTheme="minorHAnsi" w:hAnsiTheme="minorHAnsi" w:cstheme="minorHAnsi"/>
          <w:b/>
          <w:bCs/>
          <w:color w:val="008192"/>
          <w:sz w:val="22"/>
          <w:szCs w:val="22"/>
        </w:rPr>
      </w:pPr>
      <w:r w:rsidRPr="00722DDC">
        <w:rPr>
          <w:rFonts w:asciiTheme="minorHAnsi" w:hAnsiTheme="minorHAnsi" w:cstheme="minorHAnsi"/>
          <w:b/>
          <w:bCs/>
          <w:color w:val="008192"/>
          <w:sz w:val="22"/>
          <w:szCs w:val="22"/>
        </w:rPr>
        <w:t>Manifestação do Conselho de Administração</w:t>
      </w:r>
    </w:p>
    <w:p w14:paraId="04653A01" w14:textId="77777777" w:rsidR="005623AB" w:rsidRPr="00722DDC" w:rsidRDefault="005623AB" w:rsidP="00722DDC">
      <w:pPr>
        <w:pStyle w:val="Default"/>
        <w:jc w:val="both"/>
        <w:rPr>
          <w:rFonts w:asciiTheme="minorHAnsi" w:hAnsiTheme="minorHAnsi" w:cstheme="minorHAnsi"/>
          <w:b/>
          <w:bCs/>
          <w:color w:val="008192"/>
          <w:sz w:val="22"/>
          <w:szCs w:val="22"/>
        </w:rPr>
      </w:pPr>
    </w:p>
    <w:p w14:paraId="30C730E8" w14:textId="162D175B" w:rsidR="00BF252A" w:rsidRPr="00722DDC" w:rsidRDefault="00BF252A" w:rsidP="00722DDC">
      <w:pPr>
        <w:jc w:val="both"/>
        <w:rPr>
          <w:rFonts w:cstheme="minorHAnsi"/>
        </w:rPr>
      </w:pPr>
      <w:r w:rsidRPr="00722DDC">
        <w:rPr>
          <w:rFonts w:cstheme="minorHAnsi"/>
        </w:rPr>
        <w:t>O Conselho de Administração subscreve a presente Carta Anual sobre Políticas Públicas e Governança Corporativa referente ao exercício social de 2019</w:t>
      </w:r>
      <w:r w:rsidR="00805CBE">
        <w:rPr>
          <w:rFonts w:cstheme="minorHAnsi"/>
        </w:rPr>
        <w:t>,</w:t>
      </w:r>
      <w:r w:rsidRPr="00722DDC">
        <w:rPr>
          <w:rFonts w:cstheme="minorHAnsi"/>
        </w:rPr>
        <w:t xml:space="preserve"> em conformidade com o Art. 8º, incisos I e VIII, da Lei nº 13.303, de </w:t>
      </w:r>
      <w:r w:rsidRPr="009C262E">
        <w:rPr>
          <w:rFonts w:cstheme="minorHAnsi"/>
        </w:rPr>
        <w:t>30 de junho de 2016</w:t>
      </w:r>
      <w:r w:rsidRPr="00C00AE5">
        <w:rPr>
          <w:rFonts w:cstheme="minorHAnsi"/>
        </w:rPr>
        <w:t>.</w:t>
      </w:r>
    </w:p>
    <w:p w14:paraId="11FCB452" w14:textId="77777777" w:rsidR="001E49B5" w:rsidRDefault="001E49B5" w:rsidP="00722DDC">
      <w:pPr>
        <w:jc w:val="both"/>
        <w:rPr>
          <w:rFonts w:cstheme="minorHAnsi"/>
        </w:rPr>
      </w:pPr>
    </w:p>
    <w:p w14:paraId="406A4C50" w14:textId="6DC30153" w:rsidR="00BF252A" w:rsidRPr="00722DDC" w:rsidRDefault="00BF252A" w:rsidP="00722DDC">
      <w:pPr>
        <w:jc w:val="both"/>
        <w:rPr>
          <w:rFonts w:cstheme="minorHAnsi"/>
        </w:rPr>
      </w:pPr>
      <w:r w:rsidRPr="00722DDC">
        <w:rPr>
          <w:rFonts w:cstheme="minorHAnsi"/>
        </w:rPr>
        <w:t xml:space="preserve">                                                          </w:t>
      </w:r>
    </w:p>
    <w:p w14:paraId="404CEABF" w14:textId="0104560C" w:rsidR="00BF252A" w:rsidRPr="00722DDC" w:rsidRDefault="00BF252A" w:rsidP="00722DDC">
      <w:pPr>
        <w:jc w:val="both"/>
        <w:rPr>
          <w:rFonts w:cstheme="minorHAnsi"/>
        </w:rPr>
      </w:pPr>
      <w:r w:rsidRPr="00722DDC">
        <w:rPr>
          <w:rFonts w:cstheme="minorHAnsi"/>
        </w:rPr>
        <w:t xml:space="preserve">José Mauro </w:t>
      </w:r>
      <w:r w:rsidR="007A2E0C" w:rsidRPr="00722DDC">
        <w:rPr>
          <w:rFonts w:cstheme="minorHAnsi"/>
        </w:rPr>
        <w:t xml:space="preserve">Ferreira </w:t>
      </w:r>
      <w:r w:rsidRPr="00722DDC">
        <w:rPr>
          <w:rFonts w:cstheme="minorHAnsi"/>
        </w:rPr>
        <w:t>Coelho                                                                 Marcelo</w:t>
      </w:r>
      <w:r w:rsidR="007A2E0C" w:rsidRPr="00722DDC">
        <w:rPr>
          <w:rFonts w:cstheme="minorHAnsi"/>
        </w:rPr>
        <w:t xml:space="preserve"> Pacheco </w:t>
      </w:r>
      <w:r w:rsidR="00FB0D35" w:rsidRPr="00722DDC">
        <w:rPr>
          <w:rFonts w:cstheme="minorHAnsi"/>
        </w:rPr>
        <w:t xml:space="preserve">dos </w:t>
      </w:r>
      <w:proofErr w:type="spellStart"/>
      <w:r w:rsidR="00FB0D35" w:rsidRPr="00722DDC">
        <w:rPr>
          <w:rFonts w:cstheme="minorHAnsi"/>
        </w:rPr>
        <w:t>Guaranys</w:t>
      </w:r>
      <w:proofErr w:type="spellEnd"/>
    </w:p>
    <w:p w14:paraId="1019E5AE" w14:textId="73755D7E" w:rsidR="00BF252A" w:rsidRPr="00722DDC" w:rsidRDefault="00BF252A" w:rsidP="00722DDC">
      <w:pPr>
        <w:jc w:val="both"/>
        <w:rPr>
          <w:rFonts w:cstheme="minorHAnsi"/>
        </w:rPr>
      </w:pPr>
      <w:r w:rsidRPr="00722DDC">
        <w:rPr>
          <w:rFonts w:cstheme="minorHAnsi"/>
        </w:rPr>
        <w:t xml:space="preserve">Presidente do Conselho                                                                </w:t>
      </w:r>
      <w:r w:rsidR="007A2E0C" w:rsidRPr="00722DDC">
        <w:rPr>
          <w:rFonts w:cstheme="minorHAnsi"/>
        </w:rPr>
        <w:t xml:space="preserve">       </w:t>
      </w:r>
      <w:r w:rsidRPr="00722DDC">
        <w:rPr>
          <w:rFonts w:cstheme="minorHAnsi"/>
        </w:rPr>
        <w:t xml:space="preserve"> Conselheiro </w:t>
      </w:r>
    </w:p>
    <w:p w14:paraId="52620956" w14:textId="160D0621" w:rsidR="00BF252A" w:rsidRPr="00722DDC" w:rsidRDefault="00BF252A" w:rsidP="00722DDC">
      <w:pPr>
        <w:jc w:val="both"/>
        <w:rPr>
          <w:rFonts w:cstheme="minorHAnsi"/>
        </w:rPr>
      </w:pPr>
    </w:p>
    <w:p w14:paraId="2355C23C" w14:textId="48A8B8E6" w:rsidR="00BF252A" w:rsidRPr="00722DDC" w:rsidRDefault="007A2E0C" w:rsidP="00722DDC">
      <w:pPr>
        <w:jc w:val="both"/>
        <w:rPr>
          <w:rFonts w:cstheme="minorHAnsi"/>
        </w:rPr>
      </w:pPr>
      <w:r w:rsidRPr="00722DDC">
        <w:rPr>
          <w:rFonts w:cstheme="minorHAnsi"/>
        </w:rPr>
        <w:t xml:space="preserve">                                                                </w:t>
      </w:r>
    </w:p>
    <w:p w14:paraId="30AD97ED" w14:textId="586607A7" w:rsidR="00BF252A" w:rsidRPr="00722DDC" w:rsidRDefault="00BF252A" w:rsidP="00722DDC">
      <w:pPr>
        <w:jc w:val="both"/>
        <w:rPr>
          <w:rFonts w:cstheme="minorHAnsi"/>
        </w:rPr>
      </w:pPr>
      <w:r w:rsidRPr="00722DDC">
        <w:rPr>
          <w:rFonts w:cstheme="minorHAnsi"/>
        </w:rPr>
        <w:t xml:space="preserve">José Eduardo Vinhaes </w:t>
      </w:r>
      <w:proofErr w:type="spellStart"/>
      <w:r w:rsidRPr="00722DDC">
        <w:rPr>
          <w:rFonts w:cstheme="minorHAnsi"/>
        </w:rPr>
        <w:t>Gerk</w:t>
      </w:r>
      <w:proofErr w:type="spellEnd"/>
      <w:r w:rsidR="007A2E0C" w:rsidRPr="00722DDC">
        <w:rPr>
          <w:rFonts w:cstheme="minorHAnsi"/>
        </w:rPr>
        <w:t xml:space="preserve">                                                                    Natasha Torres Gil Nunes</w:t>
      </w:r>
    </w:p>
    <w:p w14:paraId="2D118A0B" w14:textId="77777777" w:rsidR="007A2E0C" w:rsidRPr="00722DDC" w:rsidRDefault="00BF252A" w:rsidP="00722DDC">
      <w:pPr>
        <w:jc w:val="both"/>
        <w:rPr>
          <w:rFonts w:cstheme="minorHAnsi"/>
        </w:rPr>
      </w:pPr>
      <w:r w:rsidRPr="00722DDC">
        <w:rPr>
          <w:rFonts w:cstheme="minorHAnsi"/>
        </w:rPr>
        <w:t>Conselheiro</w:t>
      </w:r>
      <w:r w:rsidR="007A2E0C" w:rsidRPr="00722DDC">
        <w:rPr>
          <w:rFonts w:cstheme="minorHAnsi"/>
        </w:rPr>
        <w:t xml:space="preserve">                                                                                                Conselheira </w:t>
      </w:r>
    </w:p>
    <w:p w14:paraId="5D3556FD" w14:textId="77777777" w:rsidR="007A2E0C" w:rsidRPr="00722DDC" w:rsidRDefault="007A2E0C" w:rsidP="00722DDC">
      <w:pPr>
        <w:jc w:val="both"/>
        <w:rPr>
          <w:rFonts w:cstheme="minorHAnsi"/>
        </w:rPr>
      </w:pPr>
    </w:p>
    <w:p w14:paraId="0E59CF7E" w14:textId="5446345F" w:rsidR="007A2E0C" w:rsidRPr="00722DDC" w:rsidRDefault="007A2E0C" w:rsidP="00722DDC">
      <w:pPr>
        <w:jc w:val="both"/>
        <w:rPr>
          <w:rFonts w:cstheme="minorHAnsi"/>
        </w:rPr>
      </w:pPr>
    </w:p>
    <w:p w14:paraId="18C01059" w14:textId="78322C72" w:rsidR="00BF252A" w:rsidRPr="00722DDC" w:rsidRDefault="007A2E0C" w:rsidP="00722DDC">
      <w:pPr>
        <w:jc w:val="both"/>
        <w:rPr>
          <w:rFonts w:cstheme="minorHAnsi"/>
        </w:rPr>
      </w:pPr>
      <w:r w:rsidRPr="00722DDC">
        <w:rPr>
          <w:rFonts w:cstheme="minorHAnsi"/>
        </w:rPr>
        <w:t xml:space="preserve">Lucas Pedreira do Couto Ferraz  </w:t>
      </w:r>
    </w:p>
    <w:p w14:paraId="37E0142A" w14:textId="7D714E78" w:rsidR="007A2E0C" w:rsidRPr="00722DDC" w:rsidRDefault="007A2E0C" w:rsidP="00722DDC">
      <w:pPr>
        <w:jc w:val="both"/>
        <w:rPr>
          <w:rFonts w:cstheme="minorHAnsi"/>
        </w:rPr>
      </w:pPr>
      <w:r w:rsidRPr="00722DDC">
        <w:rPr>
          <w:rFonts w:cstheme="minorHAnsi"/>
        </w:rPr>
        <w:t>Conselheiro</w:t>
      </w:r>
    </w:p>
    <w:sectPr w:rsidR="007A2E0C" w:rsidRPr="00722DDC" w:rsidSect="00250286">
      <w:headerReference w:type="default" r:id="rId35"/>
      <w:pgSz w:w="11906" w:h="16838"/>
      <w:pgMar w:top="1417"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AA1BE" w14:textId="77777777" w:rsidR="00016006" w:rsidRDefault="00016006" w:rsidP="00A758BB">
      <w:pPr>
        <w:spacing w:after="0" w:line="240" w:lineRule="auto"/>
      </w:pPr>
      <w:r>
        <w:separator/>
      </w:r>
    </w:p>
  </w:endnote>
  <w:endnote w:type="continuationSeparator" w:id="0">
    <w:p w14:paraId="736E24F8" w14:textId="77777777" w:rsidR="00016006" w:rsidRDefault="00016006" w:rsidP="00A75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339F3" w14:textId="77777777" w:rsidR="00016006" w:rsidRDefault="00016006" w:rsidP="00A758BB">
      <w:pPr>
        <w:spacing w:after="0" w:line="240" w:lineRule="auto"/>
      </w:pPr>
      <w:r>
        <w:separator/>
      </w:r>
    </w:p>
  </w:footnote>
  <w:footnote w:type="continuationSeparator" w:id="0">
    <w:p w14:paraId="6728D70C" w14:textId="77777777" w:rsidR="00016006" w:rsidRDefault="00016006" w:rsidP="00A75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524DD" w14:textId="77777777" w:rsidR="00AD466B" w:rsidRDefault="00AD466B">
    <w:pPr>
      <w:pStyle w:val="Cabealho"/>
    </w:pPr>
    <w:r>
      <w:rPr>
        <w:noProof/>
        <w:lang w:eastAsia="pt-BR"/>
      </w:rPr>
      <w:drawing>
        <wp:anchor distT="0" distB="0" distL="114300" distR="114300" simplePos="0" relativeHeight="251658240" behindDoc="0" locked="0" layoutInCell="1" allowOverlap="1" wp14:anchorId="4AD78E7E" wp14:editId="4A825835">
          <wp:simplePos x="0" y="0"/>
          <wp:positionH relativeFrom="margin">
            <wp:posOffset>-1079848</wp:posOffset>
          </wp:positionH>
          <wp:positionV relativeFrom="paragraph">
            <wp:posOffset>-449580</wp:posOffset>
          </wp:positionV>
          <wp:extent cx="7563807" cy="876069"/>
          <wp:effectExtent l="0" t="0" r="571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 anual_Prancheta 1 cópia.png"/>
                  <pic:cNvPicPr/>
                </pic:nvPicPr>
                <pic:blipFill>
                  <a:blip r:embed="rId1">
                    <a:extLst>
                      <a:ext uri="{28A0092B-C50C-407E-A947-70E740481C1C}">
                        <a14:useLocalDpi xmlns:a14="http://schemas.microsoft.com/office/drawing/2010/main" val="0"/>
                      </a:ext>
                    </a:extLst>
                  </a:blip>
                  <a:stretch>
                    <a:fillRect/>
                  </a:stretch>
                </pic:blipFill>
                <pic:spPr>
                  <a:xfrm>
                    <a:off x="0" y="0"/>
                    <a:ext cx="7563807" cy="876069"/>
                  </a:xfrm>
                  <a:prstGeom prst="rect">
                    <a:avLst/>
                  </a:prstGeom>
                </pic:spPr>
              </pic:pic>
            </a:graphicData>
          </a:graphic>
          <wp14:sizeRelH relativeFrom="page">
            <wp14:pctWidth>0</wp14:pctWidth>
          </wp14:sizeRelH>
          <wp14:sizeRelV relativeFrom="page">
            <wp14:pctHeight>0</wp14:pctHeight>
          </wp14:sizeRelV>
        </wp:anchor>
      </w:drawing>
    </w:r>
  </w:p>
  <w:p w14:paraId="757431F6" w14:textId="77777777" w:rsidR="00AD466B" w:rsidRDefault="00AD466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7FB"/>
    <w:multiLevelType w:val="hybridMultilevel"/>
    <w:tmpl w:val="26C4A7C4"/>
    <w:lvl w:ilvl="0" w:tplc="9A4859D4">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4163BF"/>
    <w:multiLevelType w:val="hybridMultilevel"/>
    <w:tmpl w:val="B5B2DA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BE3ECC"/>
    <w:multiLevelType w:val="hybridMultilevel"/>
    <w:tmpl w:val="CD98E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8D3845"/>
    <w:multiLevelType w:val="hybridMultilevel"/>
    <w:tmpl w:val="F3C44CFA"/>
    <w:lvl w:ilvl="0" w:tplc="FB0E11D2">
      <w:start w:val="1"/>
      <w:numFmt w:val="bullet"/>
      <w:lvlText w:val=""/>
      <w:lvlJc w:val="left"/>
      <w:pPr>
        <w:ind w:left="720" w:hanging="360"/>
      </w:pPr>
      <w:rPr>
        <w:rFonts w:ascii="Wingdings 3" w:hAnsi="Wingdings 3"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EB0530"/>
    <w:multiLevelType w:val="hybridMultilevel"/>
    <w:tmpl w:val="F7286A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8D626F"/>
    <w:multiLevelType w:val="hybridMultilevel"/>
    <w:tmpl w:val="0666E0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8A740E"/>
    <w:multiLevelType w:val="multilevel"/>
    <w:tmpl w:val="2D4C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9015C"/>
    <w:multiLevelType w:val="hybridMultilevel"/>
    <w:tmpl w:val="A6E2946E"/>
    <w:lvl w:ilvl="0" w:tplc="E1CE19AA">
      <w:start w:val="1"/>
      <w:numFmt w:val="bullet"/>
      <w:lvlText w:val="-"/>
      <w:lvlJc w:val="left"/>
      <w:pPr>
        <w:tabs>
          <w:tab w:val="num" w:pos="720"/>
        </w:tabs>
        <w:ind w:left="720" w:hanging="360"/>
      </w:pPr>
      <w:rPr>
        <w:rFonts w:ascii="Times New Roman" w:hAnsi="Times New Roman" w:hint="default"/>
      </w:rPr>
    </w:lvl>
    <w:lvl w:ilvl="1" w:tplc="0BA8A7C0" w:tentative="1">
      <w:start w:val="1"/>
      <w:numFmt w:val="bullet"/>
      <w:lvlText w:val="-"/>
      <w:lvlJc w:val="left"/>
      <w:pPr>
        <w:tabs>
          <w:tab w:val="num" w:pos="1440"/>
        </w:tabs>
        <w:ind w:left="1440" w:hanging="360"/>
      </w:pPr>
      <w:rPr>
        <w:rFonts w:ascii="Times New Roman" w:hAnsi="Times New Roman" w:hint="default"/>
      </w:rPr>
    </w:lvl>
    <w:lvl w:ilvl="2" w:tplc="E64ED1BA" w:tentative="1">
      <w:start w:val="1"/>
      <w:numFmt w:val="bullet"/>
      <w:lvlText w:val="-"/>
      <w:lvlJc w:val="left"/>
      <w:pPr>
        <w:tabs>
          <w:tab w:val="num" w:pos="2160"/>
        </w:tabs>
        <w:ind w:left="2160" w:hanging="360"/>
      </w:pPr>
      <w:rPr>
        <w:rFonts w:ascii="Times New Roman" w:hAnsi="Times New Roman" w:hint="default"/>
      </w:rPr>
    </w:lvl>
    <w:lvl w:ilvl="3" w:tplc="743A5D8E" w:tentative="1">
      <w:start w:val="1"/>
      <w:numFmt w:val="bullet"/>
      <w:lvlText w:val="-"/>
      <w:lvlJc w:val="left"/>
      <w:pPr>
        <w:tabs>
          <w:tab w:val="num" w:pos="2880"/>
        </w:tabs>
        <w:ind w:left="2880" w:hanging="360"/>
      </w:pPr>
      <w:rPr>
        <w:rFonts w:ascii="Times New Roman" w:hAnsi="Times New Roman" w:hint="default"/>
      </w:rPr>
    </w:lvl>
    <w:lvl w:ilvl="4" w:tplc="66BA6872" w:tentative="1">
      <w:start w:val="1"/>
      <w:numFmt w:val="bullet"/>
      <w:lvlText w:val="-"/>
      <w:lvlJc w:val="left"/>
      <w:pPr>
        <w:tabs>
          <w:tab w:val="num" w:pos="3600"/>
        </w:tabs>
        <w:ind w:left="3600" w:hanging="360"/>
      </w:pPr>
      <w:rPr>
        <w:rFonts w:ascii="Times New Roman" w:hAnsi="Times New Roman" w:hint="default"/>
      </w:rPr>
    </w:lvl>
    <w:lvl w:ilvl="5" w:tplc="3A8EE9A8" w:tentative="1">
      <w:start w:val="1"/>
      <w:numFmt w:val="bullet"/>
      <w:lvlText w:val="-"/>
      <w:lvlJc w:val="left"/>
      <w:pPr>
        <w:tabs>
          <w:tab w:val="num" w:pos="4320"/>
        </w:tabs>
        <w:ind w:left="4320" w:hanging="360"/>
      </w:pPr>
      <w:rPr>
        <w:rFonts w:ascii="Times New Roman" w:hAnsi="Times New Roman" w:hint="default"/>
      </w:rPr>
    </w:lvl>
    <w:lvl w:ilvl="6" w:tplc="6B1EDCCE" w:tentative="1">
      <w:start w:val="1"/>
      <w:numFmt w:val="bullet"/>
      <w:lvlText w:val="-"/>
      <w:lvlJc w:val="left"/>
      <w:pPr>
        <w:tabs>
          <w:tab w:val="num" w:pos="5040"/>
        </w:tabs>
        <w:ind w:left="5040" w:hanging="360"/>
      </w:pPr>
      <w:rPr>
        <w:rFonts w:ascii="Times New Roman" w:hAnsi="Times New Roman" w:hint="default"/>
      </w:rPr>
    </w:lvl>
    <w:lvl w:ilvl="7" w:tplc="43462318" w:tentative="1">
      <w:start w:val="1"/>
      <w:numFmt w:val="bullet"/>
      <w:lvlText w:val="-"/>
      <w:lvlJc w:val="left"/>
      <w:pPr>
        <w:tabs>
          <w:tab w:val="num" w:pos="5760"/>
        </w:tabs>
        <w:ind w:left="5760" w:hanging="360"/>
      </w:pPr>
      <w:rPr>
        <w:rFonts w:ascii="Times New Roman" w:hAnsi="Times New Roman" w:hint="default"/>
      </w:rPr>
    </w:lvl>
    <w:lvl w:ilvl="8" w:tplc="D33ACEC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235F9E"/>
    <w:multiLevelType w:val="hybridMultilevel"/>
    <w:tmpl w:val="183AA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82E37C8"/>
    <w:multiLevelType w:val="hybridMultilevel"/>
    <w:tmpl w:val="6AD4D0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332759"/>
    <w:multiLevelType w:val="hybridMultilevel"/>
    <w:tmpl w:val="705A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A7C4D"/>
    <w:multiLevelType w:val="multilevel"/>
    <w:tmpl w:val="AE2A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279DA"/>
    <w:multiLevelType w:val="hybridMultilevel"/>
    <w:tmpl w:val="D58C11DA"/>
    <w:lvl w:ilvl="0" w:tplc="9A4859D4">
      <w:start w:val="1"/>
      <w:numFmt w:val="bullet"/>
      <w:lvlText w:val=""/>
      <w:lvlJc w:val="left"/>
      <w:pPr>
        <w:ind w:left="720" w:hanging="360"/>
      </w:pPr>
      <w:rPr>
        <w:rFonts w:ascii="Wingdings 3" w:hAnsi="Wingdings 3"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B1D172C"/>
    <w:multiLevelType w:val="hybridMultilevel"/>
    <w:tmpl w:val="408ED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D797F0F"/>
    <w:multiLevelType w:val="hybridMultilevel"/>
    <w:tmpl w:val="50E843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8709DB"/>
    <w:multiLevelType w:val="multilevel"/>
    <w:tmpl w:val="7B562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FC52FD"/>
    <w:multiLevelType w:val="hybridMultilevel"/>
    <w:tmpl w:val="DB920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8F94001"/>
    <w:multiLevelType w:val="hybridMultilevel"/>
    <w:tmpl w:val="746E3F22"/>
    <w:lvl w:ilvl="0" w:tplc="04160001">
      <w:start w:val="1"/>
      <w:numFmt w:val="bullet"/>
      <w:lvlText w:val=""/>
      <w:lvlJc w:val="left"/>
      <w:pPr>
        <w:ind w:left="720" w:hanging="360"/>
      </w:pPr>
      <w:rPr>
        <w:rFonts w:ascii="Symbol" w:hAnsi="Symbol" w:hint="default"/>
      </w:rPr>
    </w:lvl>
    <w:lvl w:ilvl="1" w:tplc="DFC642D6">
      <w:start w:val="1"/>
      <w:numFmt w:val="bullet"/>
      <w:lvlText w:val=""/>
      <w:lvlJc w:val="left"/>
      <w:pPr>
        <w:ind w:left="1440" w:hanging="360"/>
      </w:pPr>
      <w:rPr>
        <w:rFonts w:ascii="Wingdings 3" w:hAnsi="Wingdings 3"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B4D7DEB"/>
    <w:multiLevelType w:val="hybridMultilevel"/>
    <w:tmpl w:val="EE8056A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AAB1CFD"/>
    <w:multiLevelType w:val="hybridMultilevel"/>
    <w:tmpl w:val="7D549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5D9782B"/>
    <w:multiLevelType w:val="multilevel"/>
    <w:tmpl w:val="922A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43312F"/>
    <w:multiLevelType w:val="hybridMultilevel"/>
    <w:tmpl w:val="2E025662"/>
    <w:lvl w:ilvl="0" w:tplc="0409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FE73D5C"/>
    <w:multiLevelType w:val="hybridMultilevel"/>
    <w:tmpl w:val="43125A90"/>
    <w:lvl w:ilvl="0" w:tplc="FB0E11D2">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2DC224B"/>
    <w:multiLevelType w:val="hybridMultilevel"/>
    <w:tmpl w:val="8446E064"/>
    <w:lvl w:ilvl="0" w:tplc="D9368A68">
      <w:start w:val="1"/>
      <w:numFmt w:val="bullet"/>
      <w:lvlText w:val="•"/>
      <w:lvlJc w:val="left"/>
      <w:pPr>
        <w:ind w:left="720" w:hanging="360"/>
      </w:pPr>
      <w:rPr>
        <w:rFonts w:ascii="Arial" w:hAnsi="Arial" w:hint="default"/>
      </w:rPr>
    </w:lvl>
    <w:lvl w:ilvl="1" w:tplc="3B98C8C4">
      <w:start w:val="1"/>
      <w:numFmt w:val="bullet"/>
      <w:lvlText w:val="o"/>
      <w:lvlJc w:val="left"/>
      <w:pPr>
        <w:ind w:left="1440" w:hanging="360"/>
      </w:pPr>
      <w:rPr>
        <w:rFonts w:ascii="Courier New" w:hAnsi="Courier New" w:hint="default"/>
      </w:rPr>
    </w:lvl>
    <w:lvl w:ilvl="2" w:tplc="A1A0227C">
      <w:start w:val="1"/>
      <w:numFmt w:val="bullet"/>
      <w:lvlText w:val=""/>
      <w:lvlJc w:val="left"/>
      <w:pPr>
        <w:ind w:left="2160" w:hanging="360"/>
      </w:pPr>
      <w:rPr>
        <w:rFonts w:ascii="Wingdings" w:hAnsi="Wingdings" w:hint="default"/>
      </w:rPr>
    </w:lvl>
    <w:lvl w:ilvl="3" w:tplc="49246A2A">
      <w:start w:val="1"/>
      <w:numFmt w:val="bullet"/>
      <w:lvlText w:val=""/>
      <w:lvlJc w:val="left"/>
      <w:pPr>
        <w:ind w:left="2880" w:hanging="360"/>
      </w:pPr>
      <w:rPr>
        <w:rFonts w:ascii="Symbol" w:hAnsi="Symbol" w:hint="default"/>
      </w:rPr>
    </w:lvl>
    <w:lvl w:ilvl="4" w:tplc="52FE5EAE">
      <w:start w:val="1"/>
      <w:numFmt w:val="bullet"/>
      <w:lvlText w:val="o"/>
      <w:lvlJc w:val="left"/>
      <w:pPr>
        <w:ind w:left="3600" w:hanging="360"/>
      </w:pPr>
      <w:rPr>
        <w:rFonts w:ascii="Courier New" w:hAnsi="Courier New" w:hint="default"/>
      </w:rPr>
    </w:lvl>
    <w:lvl w:ilvl="5" w:tplc="D196E0CC">
      <w:start w:val="1"/>
      <w:numFmt w:val="bullet"/>
      <w:lvlText w:val=""/>
      <w:lvlJc w:val="left"/>
      <w:pPr>
        <w:ind w:left="4320" w:hanging="360"/>
      </w:pPr>
      <w:rPr>
        <w:rFonts w:ascii="Wingdings" w:hAnsi="Wingdings" w:hint="default"/>
      </w:rPr>
    </w:lvl>
    <w:lvl w:ilvl="6" w:tplc="7938C198">
      <w:start w:val="1"/>
      <w:numFmt w:val="bullet"/>
      <w:lvlText w:val=""/>
      <w:lvlJc w:val="left"/>
      <w:pPr>
        <w:ind w:left="5040" w:hanging="360"/>
      </w:pPr>
      <w:rPr>
        <w:rFonts w:ascii="Symbol" w:hAnsi="Symbol" w:hint="default"/>
      </w:rPr>
    </w:lvl>
    <w:lvl w:ilvl="7" w:tplc="98185CB4">
      <w:start w:val="1"/>
      <w:numFmt w:val="bullet"/>
      <w:lvlText w:val="o"/>
      <w:lvlJc w:val="left"/>
      <w:pPr>
        <w:ind w:left="5760" w:hanging="360"/>
      </w:pPr>
      <w:rPr>
        <w:rFonts w:ascii="Courier New" w:hAnsi="Courier New" w:hint="default"/>
      </w:rPr>
    </w:lvl>
    <w:lvl w:ilvl="8" w:tplc="E8C2F118">
      <w:start w:val="1"/>
      <w:numFmt w:val="bullet"/>
      <w:lvlText w:val=""/>
      <w:lvlJc w:val="left"/>
      <w:pPr>
        <w:ind w:left="6480" w:hanging="360"/>
      </w:pPr>
      <w:rPr>
        <w:rFonts w:ascii="Wingdings" w:hAnsi="Wingdings" w:hint="default"/>
      </w:rPr>
    </w:lvl>
  </w:abstractNum>
  <w:abstractNum w:abstractNumId="24" w15:restartNumberingAfterBreak="0">
    <w:nsid w:val="748432CC"/>
    <w:multiLevelType w:val="hybridMultilevel"/>
    <w:tmpl w:val="D102E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DB3126D"/>
    <w:multiLevelType w:val="hybridMultilevel"/>
    <w:tmpl w:val="986879C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14"/>
  </w:num>
  <w:num w:numId="2">
    <w:abstractNumId w:val="19"/>
  </w:num>
  <w:num w:numId="3">
    <w:abstractNumId w:val="3"/>
  </w:num>
  <w:num w:numId="4">
    <w:abstractNumId w:val="22"/>
  </w:num>
  <w:num w:numId="5">
    <w:abstractNumId w:val="17"/>
  </w:num>
  <w:num w:numId="6">
    <w:abstractNumId w:val="12"/>
  </w:num>
  <w:num w:numId="7">
    <w:abstractNumId w:val="0"/>
  </w:num>
  <w:num w:numId="8">
    <w:abstractNumId w:val="11"/>
  </w:num>
  <w:num w:numId="9">
    <w:abstractNumId w:val="20"/>
  </w:num>
  <w:num w:numId="10">
    <w:abstractNumId w:val="15"/>
  </w:num>
  <w:num w:numId="11">
    <w:abstractNumId w:val="4"/>
  </w:num>
  <w:num w:numId="12">
    <w:abstractNumId w:val="8"/>
  </w:num>
  <w:num w:numId="13">
    <w:abstractNumId w:val="16"/>
  </w:num>
  <w:num w:numId="14">
    <w:abstractNumId w:val="13"/>
  </w:num>
  <w:num w:numId="15">
    <w:abstractNumId w:val="24"/>
  </w:num>
  <w:num w:numId="16">
    <w:abstractNumId w:val="25"/>
  </w:num>
  <w:num w:numId="17">
    <w:abstractNumId w:val="21"/>
  </w:num>
  <w:num w:numId="18">
    <w:abstractNumId w:val="5"/>
  </w:num>
  <w:num w:numId="19">
    <w:abstractNumId w:val="1"/>
  </w:num>
  <w:num w:numId="20">
    <w:abstractNumId w:val="2"/>
  </w:num>
  <w:num w:numId="21">
    <w:abstractNumId w:val="10"/>
  </w:num>
  <w:num w:numId="22">
    <w:abstractNumId w:val="18"/>
  </w:num>
  <w:num w:numId="23">
    <w:abstractNumId w:val="6"/>
  </w:num>
  <w:num w:numId="24">
    <w:abstractNumId w:val="23"/>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8BB"/>
    <w:rsid w:val="00016006"/>
    <w:rsid w:val="0002478F"/>
    <w:rsid w:val="00034F08"/>
    <w:rsid w:val="00043B17"/>
    <w:rsid w:val="000476D4"/>
    <w:rsid w:val="00056688"/>
    <w:rsid w:val="0006118C"/>
    <w:rsid w:val="00061D6A"/>
    <w:rsid w:val="0006546A"/>
    <w:rsid w:val="000A21DF"/>
    <w:rsid w:val="000C58B8"/>
    <w:rsid w:val="000E5002"/>
    <w:rsid w:val="000F716C"/>
    <w:rsid w:val="00104C10"/>
    <w:rsid w:val="00127FE8"/>
    <w:rsid w:val="00131030"/>
    <w:rsid w:val="001336CE"/>
    <w:rsid w:val="00163B79"/>
    <w:rsid w:val="001657F2"/>
    <w:rsid w:val="001702B5"/>
    <w:rsid w:val="0018170F"/>
    <w:rsid w:val="00195544"/>
    <w:rsid w:val="001A44B4"/>
    <w:rsid w:val="001B5819"/>
    <w:rsid w:val="001B6F40"/>
    <w:rsid w:val="001C0CB9"/>
    <w:rsid w:val="001E49B5"/>
    <w:rsid w:val="00213975"/>
    <w:rsid w:val="00216D2C"/>
    <w:rsid w:val="00223D95"/>
    <w:rsid w:val="0023223B"/>
    <w:rsid w:val="00250286"/>
    <w:rsid w:val="00260D67"/>
    <w:rsid w:val="0026297F"/>
    <w:rsid w:val="002A7066"/>
    <w:rsid w:val="002B0B78"/>
    <w:rsid w:val="002B7234"/>
    <w:rsid w:val="002C4F95"/>
    <w:rsid w:val="002D16F3"/>
    <w:rsid w:val="002E4E74"/>
    <w:rsid w:val="002F1424"/>
    <w:rsid w:val="002F79CB"/>
    <w:rsid w:val="00323524"/>
    <w:rsid w:val="0036307B"/>
    <w:rsid w:val="00386495"/>
    <w:rsid w:val="00387C98"/>
    <w:rsid w:val="003A6AE9"/>
    <w:rsid w:val="003C76D6"/>
    <w:rsid w:val="00406C10"/>
    <w:rsid w:val="00433E51"/>
    <w:rsid w:val="0043573F"/>
    <w:rsid w:val="00447284"/>
    <w:rsid w:val="0047147E"/>
    <w:rsid w:val="0048295D"/>
    <w:rsid w:val="004A12AC"/>
    <w:rsid w:val="004A5620"/>
    <w:rsid w:val="004A7DA8"/>
    <w:rsid w:val="004A7F5C"/>
    <w:rsid w:val="004B2817"/>
    <w:rsid w:val="004B2862"/>
    <w:rsid w:val="004B4BA4"/>
    <w:rsid w:val="004B4DA2"/>
    <w:rsid w:val="004C118E"/>
    <w:rsid w:val="004D4996"/>
    <w:rsid w:val="004E09F5"/>
    <w:rsid w:val="0055392E"/>
    <w:rsid w:val="005603D5"/>
    <w:rsid w:val="005623AB"/>
    <w:rsid w:val="005907C6"/>
    <w:rsid w:val="005A1D2A"/>
    <w:rsid w:val="005A59DC"/>
    <w:rsid w:val="005B1642"/>
    <w:rsid w:val="005C4AE7"/>
    <w:rsid w:val="005D7ED9"/>
    <w:rsid w:val="005F44D3"/>
    <w:rsid w:val="00600F11"/>
    <w:rsid w:val="00606756"/>
    <w:rsid w:val="006069F4"/>
    <w:rsid w:val="006373A0"/>
    <w:rsid w:val="00643327"/>
    <w:rsid w:val="006601E8"/>
    <w:rsid w:val="006623DC"/>
    <w:rsid w:val="00664584"/>
    <w:rsid w:val="00674977"/>
    <w:rsid w:val="00674AD2"/>
    <w:rsid w:val="006C3789"/>
    <w:rsid w:val="006D7E91"/>
    <w:rsid w:val="006F3181"/>
    <w:rsid w:val="006F6F42"/>
    <w:rsid w:val="00722DDC"/>
    <w:rsid w:val="00733A98"/>
    <w:rsid w:val="00734F00"/>
    <w:rsid w:val="0075269F"/>
    <w:rsid w:val="0075531C"/>
    <w:rsid w:val="00762D48"/>
    <w:rsid w:val="00775882"/>
    <w:rsid w:val="00791FFA"/>
    <w:rsid w:val="007A2E0C"/>
    <w:rsid w:val="007A5D24"/>
    <w:rsid w:val="007C32C7"/>
    <w:rsid w:val="007C33A5"/>
    <w:rsid w:val="007C380A"/>
    <w:rsid w:val="007F0FE9"/>
    <w:rsid w:val="00805CBE"/>
    <w:rsid w:val="0081037D"/>
    <w:rsid w:val="0081351D"/>
    <w:rsid w:val="00814C98"/>
    <w:rsid w:val="00821708"/>
    <w:rsid w:val="00863324"/>
    <w:rsid w:val="00865BD2"/>
    <w:rsid w:val="00866BF9"/>
    <w:rsid w:val="008A6590"/>
    <w:rsid w:val="008B16FF"/>
    <w:rsid w:val="008D0DE1"/>
    <w:rsid w:val="008E3136"/>
    <w:rsid w:val="009152E7"/>
    <w:rsid w:val="0091705B"/>
    <w:rsid w:val="00917610"/>
    <w:rsid w:val="00923AD2"/>
    <w:rsid w:val="00936997"/>
    <w:rsid w:val="00987261"/>
    <w:rsid w:val="00997993"/>
    <w:rsid w:val="009B710E"/>
    <w:rsid w:val="009C070A"/>
    <w:rsid w:val="009C262E"/>
    <w:rsid w:val="009D4BC7"/>
    <w:rsid w:val="009D4F95"/>
    <w:rsid w:val="009E4DC9"/>
    <w:rsid w:val="009F51A1"/>
    <w:rsid w:val="009F7287"/>
    <w:rsid w:val="009F7F63"/>
    <w:rsid w:val="00A51E39"/>
    <w:rsid w:val="00A65ADC"/>
    <w:rsid w:val="00A758BB"/>
    <w:rsid w:val="00A91068"/>
    <w:rsid w:val="00AD3CB0"/>
    <w:rsid w:val="00AD466B"/>
    <w:rsid w:val="00B07F9D"/>
    <w:rsid w:val="00B12B54"/>
    <w:rsid w:val="00B20160"/>
    <w:rsid w:val="00B206C1"/>
    <w:rsid w:val="00B81588"/>
    <w:rsid w:val="00B93075"/>
    <w:rsid w:val="00BB442C"/>
    <w:rsid w:val="00BC27EC"/>
    <w:rsid w:val="00BC3E13"/>
    <w:rsid w:val="00BC77A9"/>
    <w:rsid w:val="00BD22A3"/>
    <w:rsid w:val="00BD7B53"/>
    <w:rsid w:val="00BF252A"/>
    <w:rsid w:val="00C00AE5"/>
    <w:rsid w:val="00C024CF"/>
    <w:rsid w:val="00C02998"/>
    <w:rsid w:val="00C07BDB"/>
    <w:rsid w:val="00C2126D"/>
    <w:rsid w:val="00C40AEA"/>
    <w:rsid w:val="00C8265D"/>
    <w:rsid w:val="00C8441B"/>
    <w:rsid w:val="00C867D6"/>
    <w:rsid w:val="00C87609"/>
    <w:rsid w:val="00CE2DD8"/>
    <w:rsid w:val="00CE649D"/>
    <w:rsid w:val="00D01455"/>
    <w:rsid w:val="00D17AA1"/>
    <w:rsid w:val="00D25DFE"/>
    <w:rsid w:val="00D44AD0"/>
    <w:rsid w:val="00D5093E"/>
    <w:rsid w:val="00D52A41"/>
    <w:rsid w:val="00D602AA"/>
    <w:rsid w:val="00D624B3"/>
    <w:rsid w:val="00D64942"/>
    <w:rsid w:val="00D77583"/>
    <w:rsid w:val="00DB7E1F"/>
    <w:rsid w:val="00DD79A0"/>
    <w:rsid w:val="00DE6977"/>
    <w:rsid w:val="00E1110A"/>
    <w:rsid w:val="00E3577B"/>
    <w:rsid w:val="00E56C9E"/>
    <w:rsid w:val="00E61E7F"/>
    <w:rsid w:val="00E742C8"/>
    <w:rsid w:val="00E8356F"/>
    <w:rsid w:val="00E86515"/>
    <w:rsid w:val="00E92388"/>
    <w:rsid w:val="00E97887"/>
    <w:rsid w:val="00EA41F4"/>
    <w:rsid w:val="00EB7E2E"/>
    <w:rsid w:val="00EE0CF5"/>
    <w:rsid w:val="00EE3FFB"/>
    <w:rsid w:val="00EE4D28"/>
    <w:rsid w:val="00EF1EB4"/>
    <w:rsid w:val="00EF1FEA"/>
    <w:rsid w:val="00EF56CF"/>
    <w:rsid w:val="00EF6164"/>
    <w:rsid w:val="00EF632B"/>
    <w:rsid w:val="00F27167"/>
    <w:rsid w:val="00F34048"/>
    <w:rsid w:val="00F347D0"/>
    <w:rsid w:val="00F42A09"/>
    <w:rsid w:val="00F51469"/>
    <w:rsid w:val="00F6584C"/>
    <w:rsid w:val="00F77E02"/>
    <w:rsid w:val="00F86A3B"/>
    <w:rsid w:val="00F86A75"/>
    <w:rsid w:val="00F86B89"/>
    <w:rsid w:val="00F930C0"/>
    <w:rsid w:val="00F9529B"/>
    <w:rsid w:val="00FA3FE0"/>
    <w:rsid w:val="00FB0D35"/>
    <w:rsid w:val="00FC2372"/>
    <w:rsid w:val="00FC3299"/>
    <w:rsid w:val="00FC3497"/>
    <w:rsid w:val="00FD2A25"/>
    <w:rsid w:val="00FD3A5A"/>
    <w:rsid w:val="00FE10FF"/>
    <w:rsid w:val="00FE57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EF085"/>
  <w15:chartTrackingRefBased/>
  <w15:docId w15:val="{1A0F0255-CE8B-48D5-93FB-61CAAAE5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A41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uiPriority w:val="9"/>
    <w:semiHidden/>
    <w:unhideWhenUsed/>
    <w:qFormat/>
    <w:rsid w:val="001817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758B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758BB"/>
  </w:style>
  <w:style w:type="paragraph" w:styleId="Rodap">
    <w:name w:val="footer"/>
    <w:basedOn w:val="Normal"/>
    <w:link w:val="RodapChar"/>
    <w:uiPriority w:val="99"/>
    <w:unhideWhenUsed/>
    <w:rsid w:val="00A758BB"/>
    <w:pPr>
      <w:tabs>
        <w:tab w:val="center" w:pos="4252"/>
        <w:tab w:val="right" w:pos="8504"/>
      </w:tabs>
      <w:spacing w:after="0" w:line="240" w:lineRule="auto"/>
    </w:pPr>
  </w:style>
  <w:style w:type="character" w:customStyle="1" w:styleId="RodapChar">
    <w:name w:val="Rodapé Char"/>
    <w:basedOn w:val="Fontepargpadro"/>
    <w:link w:val="Rodap"/>
    <w:uiPriority w:val="99"/>
    <w:rsid w:val="00A758BB"/>
  </w:style>
  <w:style w:type="paragraph" w:customStyle="1" w:styleId="Default">
    <w:name w:val="Default"/>
    <w:rsid w:val="00A758BB"/>
    <w:pPr>
      <w:autoSpaceDE w:val="0"/>
      <w:autoSpaceDN w:val="0"/>
      <w:adjustRightInd w:val="0"/>
      <w:spacing w:after="0" w:line="240" w:lineRule="auto"/>
    </w:pPr>
    <w:rPr>
      <w:rFonts w:ascii="Calibri" w:hAnsi="Calibri" w:cs="Calibri"/>
      <w:color w:val="000000"/>
      <w:sz w:val="24"/>
      <w:szCs w:val="24"/>
    </w:rPr>
  </w:style>
  <w:style w:type="character" w:customStyle="1" w:styleId="Ttulo1Char">
    <w:name w:val="Título 1 Char"/>
    <w:basedOn w:val="Fontepargpadro"/>
    <w:link w:val="Ttulo1"/>
    <w:uiPriority w:val="9"/>
    <w:rsid w:val="00EA41F4"/>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EA41F4"/>
    <w:pPr>
      <w:outlineLvl w:val="9"/>
    </w:pPr>
    <w:rPr>
      <w:lang w:eastAsia="pt-BR"/>
    </w:rPr>
  </w:style>
  <w:style w:type="character" w:customStyle="1" w:styleId="Fontepargpadro1">
    <w:name w:val="Fonte parág. padrão1"/>
    <w:rsid w:val="00433E51"/>
  </w:style>
  <w:style w:type="paragraph" w:styleId="Textodebalo">
    <w:name w:val="Balloon Text"/>
    <w:basedOn w:val="Normal"/>
    <w:link w:val="TextodebaloChar"/>
    <w:uiPriority w:val="99"/>
    <w:semiHidden/>
    <w:unhideWhenUsed/>
    <w:rsid w:val="00DD79A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79A0"/>
    <w:rPr>
      <w:rFonts w:ascii="Segoe UI" w:hAnsi="Segoe UI" w:cs="Segoe UI"/>
      <w:sz w:val="18"/>
      <w:szCs w:val="18"/>
    </w:rPr>
  </w:style>
  <w:style w:type="paragraph" w:styleId="NormalWeb">
    <w:name w:val="Normal (Web)"/>
    <w:basedOn w:val="Normal"/>
    <w:uiPriority w:val="99"/>
    <w:unhideWhenUsed/>
    <w:rsid w:val="00A9106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lead">
    <w:name w:val="lead"/>
    <w:basedOn w:val="Normal"/>
    <w:rsid w:val="00A9106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B81588"/>
    <w:pPr>
      <w:widowControl w:val="0"/>
      <w:pBdr>
        <w:top w:val="nil"/>
        <w:left w:val="nil"/>
        <w:bottom w:val="nil"/>
        <w:right w:val="nil"/>
        <w:between w:val="nil"/>
      </w:pBdr>
      <w:spacing w:after="0" w:line="240" w:lineRule="auto"/>
      <w:ind w:left="720"/>
      <w:contextualSpacing/>
    </w:pPr>
    <w:rPr>
      <w:rFonts w:ascii="Calibri" w:eastAsia="Calibri" w:hAnsi="Calibri" w:cs="Calibri"/>
      <w:color w:val="000000"/>
      <w:lang w:eastAsia="pt-BR"/>
    </w:rPr>
  </w:style>
  <w:style w:type="character" w:customStyle="1" w:styleId="PargrafodaListaChar">
    <w:name w:val="Parágrafo da Lista Char"/>
    <w:basedOn w:val="Fontepargpadro"/>
    <w:link w:val="PargrafodaLista"/>
    <w:uiPriority w:val="34"/>
    <w:rsid w:val="00B81588"/>
    <w:rPr>
      <w:rFonts w:ascii="Calibri" w:eastAsia="Calibri" w:hAnsi="Calibri" w:cs="Calibri"/>
      <w:color w:val="000000"/>
      <w:lang w:eastAsia="pt-BR"/>
    </w:rPr>
  </w:style>
  <w:style w:type="table" w:styleId="Tabelacomgrade">
    <w:name w:val="Table Grid"/>
    <w:basedOn w:val="Tabelanormal"/>
    <w:uiPriority w:val="39"/>
    <w:rsid w:val="00B81588"/>
    <w:pPr>
      <w:widowControl w:val="0"/>
      <w:spacing w:after="0" w:line="240" w:lineRule="auto"/>
    </w:pPr>
    <w:rPr>
      <w:rFonts w:ascii="Calibri" w:eastAsia="Calibri" w:hAnsi="Calibri" w:cs="Calibri"/>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har">
    <w:name w:val="Título 4 Char"/>
    <w:basedOn w:val="Fontepargpadro"/>
    <w:link w:val="Ttulo4"/>
    <w:uiPriority w:val="9"/>
    <w:rsid w:val="0018170F"/>
    <w:rPr>
      <w:rFonts w:asciiTheme="majorHAnsi" w:eastAsiaTheme="majorEastAsia" w:hAnsiTheme="majorHAnsi" w:cstheme="majorBidi"/>
      <w:i/>
      <w:iCs/>
      <w:color w:val="2F5496" w:themeColor="accent1" w:themeShade="BF"/>
    </w:rPr>
  </w:style>
  <w:style w:type="paragraph" w:customStyle="1" w:styleId="padding-top10">
    <w:name w:val="padding-top10"/>
    <w:basedOn w:val="Normal"/>
    <w:rsid w:val="0018170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semiHidden/>
    <w:unhideWhenUsed/>
    <w:rsid w:val="00EE4D28"/>
    <w:pPr>
      <w:widowControl w:val="0"/>
      <w:pBdr>
        <w:top w:val="nil"/>
        <w:left w:val="nil"/>
        <w:bottom w:val="nil"/>
        <w:right w:val="nil"/>
        <w:between w:val="nil"/>
      </w:pBdr>
      <w:spacing w:after="0" w:line="240" w:lineRule="auto"/>
    </w:pPr>
    <w:rPr>
      <w:rFonts w:ascii="Calibri" w:eastAsia="Calibri" w:hAnsi="Calibri" w:cs="Calibri"/>
      <w:color w:val="000000"/>
      <w:sz w:val="20"/>
      <w:szCs w:val="20"/>
      <w:lang w:eastAsia="pt-BR"/>
    </w:rPr>
  </w:style>
  <w:style w:type="character" w:customStyle="1" w:styleId="TextodecomentrioChar">
    <w:name w:val="Texto de comentário Char"/>
    <w:basedOn w:val="Fontepargpadro"/>
    <w:link w:val="Textodecomentrio"/>
    <w:uiPriority w:val="99"/>
    <w:semiHidden/>
    <w:rsid w:val="00EE4D28"/>
    <w:rPr>
      <w:rFonts w:ascii="Calibri" w:eastAsia="Calibri" w:hAnsi="Calibri" w:cs="Calibri"/>
      <w:color w:val="000000"/>
      <w:sz w:val="20"/>
      <w:szCs w:val="20"/>
      <w:lang w:eastAsia="pt-BR"/>
    </w:rPr>
  </w:style>
  <w:style w:type="character" w:styleId="Refdecomentrio">
    <w:name w:val="annotation reference"/>
    <w:basedOn w:val="Fontepargpadro"/>
    <w:uiPriority w:val="99"/>
    <w:semiHidden/>
    <w:unhideWhenUsed/>
    <w:rsid w:val="00EE4D28"/>
    <w:rPr>
      <w:sz w:val="16"/>
      <w:szCs w:val="16"/>
    </w:rPr>
  </w:style>
  <w:style w:type="paragraph" w:customStyle="1" w:styleId="xdefault">
    <w:name w:val="x_default"/>
    <w:basedOn w:val="Normal"/>
    <w:rsid w:val="00FC349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42A09"/>
    <w:rPr>
      <w:color w:val="0000FF"/>
      <w:u w:val="single"/>
    </w:rPr>
  </w:style>
  <w:style w:type="paragraph" w:customStyle="1" w:styleId="xmsonormal">
    <w:name w:val="x_msonormal"/>
    <w:basedOn w:val="Normal"/>
    <w:rsid w:val="00D624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xmsohyperlink">
    <w:name w:val="x_msohyperlink"/>
    <w:basedOn w:val="Fontepargpadro"/>
    <w:rsid w:val="00D624B3"/>
  </w:style>
  <w:style w:type="paragraph" w:styleId="Assuntodocomentrio">
    <w:name w:val="annotation subject"/>
    <w:basedOn w:val="Textodecomentrio"/>
    <w:next w:val="Textodecomentrio"/>
    <w:link w:val="AssuntodocomentrioChar"/>
    <w:uiPriority w:val="99"/>
    <w:semiHidden/>
    <w:unhideWhenUsed/>
    <w:rsid w:val="004B2817"/>
    <w:pPr>
      <w:widowControl/>
      <w:pBdr>
        <w:top w:val="none" w:sz="0" w:space="0" w:color="auto"/>
        <w:left w:val="none" w:sz="0" w:space="0" w:color="auto"/>
        <w:bottom w:val="none" w:sz="0" w:space="0" w:color="auto"/>
        <w:right w:val="none" w:sz="0" w:space="0" w:color="auto"/>
        <w:between w:val="none" w:sz="0" w:space="0" w:color="auto"/>
      </w:pBdr>
      <w:spacing w:after="160"/>
    </w:pPr>
    <w:rPr>
      <w:rFonts w:asciiTheme="minorHAnsi" w:eastAsiaTheme="minorHAnsi" w:hAnsiTheme="minorHAnsi" w:cstheme="minorBidi"/>
      <w:b/>
      <w:bCs/>
      <w:color w:val="auto"/>
      <w:lang w:eastAsia="en-US"/>
    </w:rPr>
  </w:style>
  <w:style w:type="character" w:customStyle="1" w:styleId="AssuntodocomentrioChar">
    <w:name w:val="Assunto do comentário Char"/>
    <w:basedOn w:val="TextodecomentrioChar"/>
    <w:link w:val="Assuntodocomentrio"/>
    <w:uiPriority w:val="99"/>
    <w:semiHidden/>
    <w:rsid w:val="004B2817"/>
    <w:rPr>
      <w:rFonts w:ascii="Calibri" w:eastAsia="Calibri" w:hAnsi="Calibri" w:cs="Calibri"/>
      <w:b/>
      <w:bCs/>
      <w:color w:val="000000"/>
      <w:sz w:val="20"/>
      <w:szCs w:val="20"/>
      <w:lang w:eastAsia="pt-BR"/>
    </w:rPr>
  </w:style>
  <w:style w:type="paragraph" w:styleId="Reviso">
    <w:name w:val="Revision"/>
    <w:hidden/>
    <w:uiPriority w:val="99"/>
    <w:semiHidden/>
    <w:rsid w:val="00E978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28852">
      <w:bodyDiv w:val="1"/>
      <w:marLeft w:val="0"/>
      <w:marRight w:val="0"/>
      <w:marTop w:val="0"/>
      <w:marBottom w:val="0"/>
      <w:divBdr>
        <w:top w:val="none" w:sz="0" w:space="0" w:color="auto"/>
        <w:left w:val="none" w:sz="0" w:space="0" w:color="auto"/>
        <w:bottom w:val="none" w:sz="0" w:space="0" w:color="auto"/>
        <w:right w:val="none" w:sz="0" w:space="0" w:color="auto"/>
      </w:divBdr>
    </w:div>
    <w:div w:id="777605035">
      <w:bodyDiv w:val="1"/>
      <w:marLeft w:val="0"/>
      <w:marRight w:val="0"/>
      <w:marTop w:val="0"/>
      <w:marBottom w:val="0"/>
      <w:divBdr>
        <w:top w:val="none" w:sz="0" w:space="0" w:color="auto"/>
        <w:left w:val="none" w:sz="0" w:space="0" w:color="auto"/>
        <w:bottom w:val="none" w:sz="0" w:space="0" w:color="auto"/>
        <w:right w:val="none" w:sz="0" w:space="0" w:color="auto"/>
      </w:divBdr>
    </w:div>
    <w:div w:id="14478910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089">
          <w:marLeft w:val="0"/>
          <w:marRight w:val="0"/>
          <w:marTop w:val="0"/>
          <w:marBottom w:val="0"/>
          <w:divBdr>
            <w:top w:val="none" w:sz="0" w:space="0" w:color="auto"/>
            <w:left w:val="none" w:sz="0" w:space="0" w:color="auto"/>
            <w:bottom w:val="none" w:sz="0" w:space="0" w:color="auto"/>
            <w:right w:val="none" w:sz="0" w:space="0" w:color="auto"/>
          </w:divBdr>
          <w:divsChild>
            <w:div w:id="8000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8681">
      <w:bodyDiv w:val="1"/>
      <w:marLeft w:val="0"/>
      <w:marRight w:val="0"/>
      <w:marTop w:val="0"/>
      <w:marBottom w:val="0"/>
      <w:divBdr>
        <w:top w:val="none" w:sz="0" w:space="0" w:color="auto"/>
        <w:left w:val="none" w:sz="0" w:space="0" w:color="auto"/>
        <w:bottom w:val="none" w:sz="0" w:space="0" w:color="auto"/>
        <w:right w:val="none" w:sz="0" w:space="0" w:color="auto"/>
      </w:divBdr>
    </w:div>
    <w:div w:id="1778522856">
      <w:bodyDiv w:val="1"/>
      <w:marLeft w:val="0"/>
      <w:marRight w:val="0"/>
      <w:marTop w:val="0"/>
      <w:marBottom w:val="0"/>
      <w:divBdr>
        <w:top w:val="none" w:sz="0" w:space="0" w:color="auto"/>
        <w:left w:val="none" w:sz="0" w:space="0" w:color="auto"/>
        <w:bottom w:val="none" w:sz="0" w:space="0" w:color="auto"/>
        <w:right w:val="none" w:sz="0" w:space="0" w:color="auto"/>
      </w:divBdr>
      <w:divsChild>
        <w:div w:id="1082262732">
          <w:marLeft w:val="0"/>
          <w:marRight w:val="0"/>
          <w:marTop w:val="0"/>
          <w:marBottom w:val="0"/>
          <w:divBdr>
            <w:top w:val="none" w:sz="0" w:space="0" w:color="auto"/>
            <w:left w:val="none" w:sz="0" w:space="0" w:color="auto"/>
            <w:bottom w:val="none" w:sz="0" w:space="0" w:color="auto"/>
            <w:right w:val="none" w:sz="0" w:space="0" w:color="auto"/>
          </w:divBdr>
        </w:div>
        <w:div w:id="993534119">
          <w:marLeft w:val="0"/>
          <w:marRight w:val="0"/>
          <w:marTop w:val="0"/>
          <w:marBottom w:val="0"/>
          <w:divBdr>
            <w:top w:val="none" w:sz="0" w:space="0" w:color="auto"/>
            <w:left w:val="none" w:sz="0" w:space="0" w:color="auto"/>
            <w:bottom w:val="none" w:sz="0" w:space="0" w:color="auto"/>
            <w:right w:val="none" w:sz="0" w:space="0" w:color="auto"/>
          </w:divBdr>
        </w:div>
        <w:div w:id="1023484123">
          <w:marLeft w:val="0"/>
          <w:marRight w:val="0"/>
          <w:marTop w:val="0"/>
          <w:marBottom w:val="0"/>
          <w:divBdr>
            <w:top w:val="none" w:sz="0" w:space="0" w:color="auto"/>
            <w:left w:val="none" w:sz="0" w:space="0" w:color="auto"/>
            <w:bottom w:val="none" w:sz="0" w:space="0" w:color="auto"/>
            <w:right w:val="none" w:sz="0" w:space="0" w:color="auto"/>
          </w:divBdr>
        </w:div>
        <w:div w:id="1918055047">
          <w:marLeft w:val="0"/>
          <w:marRight w:val="0"/>
          <w:marTop w:val="0"/>
          <w:marBottom w:val="0"/>
          <w:divBdr>
            <w:top w:val="none" w:sz="0" w:space="0" w:color="auto"/>
            <w:left w:val="none" w:sz="0" w:space="0" w:color="auto"/>
            <w:bottom w:val="none" w:sz="0" w:space="0" w:color="auto"/>
            <w:right w:val="none" w:sz="0" w:space="0" w:color="auto"/>
          </w:divBdr>
        </w:div>
        <w:div w:id="1956789915">
          <w:marLeft w:val="0"/>
          <w:marRight w:val="0"/>
          <w:marTop w:val="0"/>
          <w:marBottom w:val="0"/>
          <w:divBdr>
            <w:top w:val="none" w:sz="0" w:space="0" w:color="auto"/>
            <w:left w:val="none" w:sz="0" w:space="0" w:color="auto"/>
            <w:bottom w:val="none" w:sz="0" w:space="0" w:color="auto"/>
            <w:right w:val="none" w:sz="0" w:space="0" w:color="auto"/>
          </w:divBdr>
        </w:div>
      </w:divsChild>
    </w:div>
    <w:div w:id="2135100400">
      <w:bodyDiv w:val="1"/>
      <w:marLeft w:val="0"/>
      <w:marRight w:val="0"/>
      <w:marTop w:val="0"/>
      <w:marBottom w:val="0"/>
      <w:divBdr>
        <w:top w:val="none" w:sz="0" w:space="0" w:color="auto"/>
        <w:left w:val="none" w:sz="0" w:space="0" w:color="auto"/>
        <w:bottom w:val="none" w:sz="0" w:space="0" w:color="auto"/>
        <w:right w:val="none" w:sz="0" w:space="0" w:color="auto"/>
      </w:divBdr>
      <w:divsChild>
        <w:div w:id="274291256">
          <w:marLeft w:val="0"/>
          <w:marRight w:val="0"/>
          <w:marTop w:val="0"/>
          <w:marBottom w:val="0"/>
          <w:divBdr>
            <w:top w:val="none" w:sz="0" w:space="0" w:color="auto"/>
            <w:left w:val="none" w:sz="0" w:space="0" w:color="auto"/>
            <w:bottom w:val="none" w:sz="0" w:space="0" w:color="auto"/>
            <w:right w:val="none" w:sz="0" w:space="0" w:color="auto"/>
          </w:divBdr>
        </w:div>
        <w:div w:id="787704348">
          <w:marLeft w:val="0"/>
          <w:marRight w:val="0"/>
          <w:marTop w:val="0"/>
          <w:marBottom w:val="0"/>
          <w:divBdr>
            <w:top w:val="none" w:sz="0" w:space="0" w:color="auto"/>
            <w:left w:val="none" w:sz="0" w:space="0" w:color="auto"/>
            <w:bottom w:val="none" w:sz="0" w:space="0" w:color="auto"/>
            <w:right w:val="none" w:sz="0" w:space="0" w:color="auto"/>
          </w:divBdr>
        </w:div>
        <w:div w:id="1638758944">
          <w:marLeft w:val="0"/>
          <w:marRight w:val="0"/>
          <w:marTop w:val="0"/>
          <w:marBottom w:val="0"/>
          <w:divBdr>
            <w:top w:val="none" w:sz="0" w:space="0" w:color="auto"/>
            <w:left w:val="none" w:sz="0" w:space="0" w:color="auto"/>
            <w:bottom w:val="none" w:sz="0" w:space="0" w:color="auto"/>
            <w:right w:val="none" w:sz="0" w:space="0" w:color="auto"/>
          </w:divBdr>
        </w:div>
        <w:div w:id="1508254784">
          <w:marLeft w:val="0"/>
          <w:marRight w:val="0"/>
          <w:marTop w:val="0"/>
          <w:marBottom w:val="0"/>
          <w:divBdr>
            <w:top w:val="none" w:sz="0" w:space="0" w:color="auto"/>
            <w:left w:val="none" w:sz="0" w:space="0" w:color="auto"/>
            <w:bottom w:val="none" w:sz="0" w:space="0" w:color="auto"/>
            <w:right w:val="none" w:sz="0" w:space="0" w:color="auto"/>
          </w:divBdr>
        </w:div>
        <w:div w:id="725421640">
          <w:marLeft w:val="0"/>
          <w:marRight w:val="0"/>
          <w:marTop w:val="0"/>
          <w:marBottom w:val="0"/>
          <w:divBdr>
            <w:top w:val="none" w:sz="0" w:space="0" w:color="auto"/>
            <w:left w:val="none" w:sz="0" w:space="0" w:color="auto"/>
            <w:bottom w:val="none" w:sz="0" w:space="0" w:color="auto"/>
            <w:right w:val="none" w:sz="0" w:space="0" w:color="auto"/>
          </w:divBdr>
        </w:div>
        <w:div w:id="1597709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presalpetroleo.gov.br/ppsa/governanca-corporativa/comite-de-elegibilida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presalpetroleo.gov.br/ppsa/governanca-corporativa/comite-de-elegibilida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presalpetroleo.gov.br/ppsa/governanca-corporativa/comite-de-auditoria-estatutar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A2577-2A49-415B-AFE0-449126D9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9026</Words>
  <Characters>48745</Characters>
  <Application>Microsoft Office Word</Application>
  <DocSecurity>0</DocSecurity>
  <Lines>406</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Viviane Alves</dc:creator>
  <cp:keywords/>
  <dc:description/>
  <cp:lastModifiedBy>Tatiana Fontenelle</cp:lastModifiedBy>
  <cp:revision>2</cp:revision>
  <dcterms:created xsi:type="dcterms:W3CDTF">2020-09-03T16:22:00Z</dcterms:created>
  <dcterms:modified xsi:type="dcterms:W3CDTF">2020-09-03T16:22:00Z</dcterms:modified>
</cp:coreProperties>
</file>