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Layout w:type="fixed"/>
        <w:tblLook w:val="04A0" w:firstRow="1" w:lastRow="0" w:firstColumn="1" w:lastColumn="0" w:noHBand="0" w:noVBand="1"/>
      </w:tblPr>
      <w:tblGrid>
        <w:gridCol w:w="1422"/>
        <w:gridCol w:w="3535"/>
        <w:gridCol w:w="9037"/>
      </w:tblGrid>
      <w:tr w:rsidR="00633A39" w14:paraId="34505CF7" w14:textId="77777777" w:rsidTr="00E634CE">
        <w:trPr>
          <w:trHeight w:val="416"/>
        </w:trPr>
        <w:tc>
          <w:tcPr>
            <w:tcW w:w="1422" w:type="dxa"/>
          </w:tcPr>
          <w:p w14:paraId="349167EF" w14:textId="0E706A85" w:rsidR="00633A39" w:rsidRPr="00E634CE" w:rsidRDefault="00633A39">
            <w:pPr>
              <w:rPr>
                <w:sz w:val="28"/>
                <w:szCs w:val="28"/>
              </w:rPr>
            </w:pPr>
            <w:r w:rsidRPr="00E634CE">
              <w:rPr>
                <w:sz w:val="28"/>
                <w:szCs w:val="28"/>
              </w:rPr>
              <w:t xml:space="preserve">Acórdão </w:t>
            </w:r>
          </w:p>
        </w:tc>
        <w:tc>
          <w:tcPr>
            <w:tcW w:w="3535" w:type="dxa"/>
          </w:tcPr>
          <w:p w14:paraId="494D1CC8" w14:textId="29124BF8" w:rsidR="00633A39" w:rsidRPr="00E634CE" w:rsidRDefault="00633A39">
            <w:pPr>
              <w:rPr>
                <w:sz w:val="28"/>
                <w:szCs w:val="28"/>
              </w:rPr>
            </w:pPr>
            <w:r w:rsidRPr="00E634CE">
              <w:rPr>
                <w:sz w:val="28"/>
                <w:szCs w:val="28"/>
              </w:rPr>
              <w:t>Link</w:t>
            </w:r>
          </w:p>
        </w:tc>
        <w:tc>
          <w:tcPr>
            <w:tcW w:w="9037" w:type="dxa"/>
          </w:tcPr>
          <w:p w14:paraId="2E560025" w14:textId="0BE124DC" w:rsidR="00633A39" w:rsidRPr="00E634CE" w:rsidRDefault="00633A39">
            <w:pPr>
              <w:rPr>
                <w:sz w:val="28"/>
                <w:szCs w:val="28"/>
              </w:rPr>
            </w:pPr>
            <w:r w:rsidRPr="00E634CE">
              <w:rPr>
                <w:sz w:val="28"/>
                <w:szCs w:val="28"/>
              </w:rPr>
              <w:t>Providências adotadas</w:t>
            </w:r>
          </w:p>
        </w:tc>
      </w:tr>
      <w:tr w:rsidR="00633A39" w14:paraId="70D20B4D" w14:textId="77777777" w:rsidTr="00E634CE">
        <w:tc>
          <w:tcPr>
            <w:tcW w:w="1422" w:type="dxa"/>
          </w:tcPr>
          <w:p w14:paraId="38817658" w14:textId="189371C0" w:rsidR="00633A39" w:rsidRDefault="00633A39">
            <w:r>
              <w:t>Acórdão 956/2020 - Plenário</w:t>
            </w:r>
          </w:p>
        </w:tc>
        <w:tc>
          <w:tcPr>
            <w:tcW w:w="3535" w:type="dxa"/>
          </w:tcPr>
          <w:p w14:paraId="09033496" w14:textId="77777777" w:rsidR="00E634CE" w:rsidRDefault="0063155F" w:rsidP="00E634CE">
            <w:hyperlink r:id="rId6" w:anchor="/documento/acordao-completo/*/NUMACORDAO%253A956%2520ANOACORDAO%253A2020%2520COLEGIADO%253A%2522Plen%25C3%25A1rio%2522/DTRELEVANCIA%2520desc%252C%2520NUMACORDAOINT%2520desc/0/%2520" w:history="1">
              <w:r w:rsidR="00E634CE" w:rsidRPr="00CD4470">
                <w:rPr>
                  <w:rStyle w:val="Hyperlink"/>
                </w:rPr>
                <w:t>https://pesquisa.apps.tcu.gov.br/#/documento/acordao-completo/*/NUMACORDAO%253A956%2520ANOACORDAO%253A2020%2520COLEGIADO%253A%2522Plen%25C3%25A1rio%2522/DTRELEVANCIA%2520desc%252C%2520NUMACORDAOINT%2520desc/0/%2520</w:t>
              </w:r>
            </w:hyperlink>
          </w:p>
          <w:p w14:paraId="59A5E3C3" w14:textId="77777777" w:rsidR="00633A39" w:rsidRDefault="00633A39"/>
        </w:tc>
        <w:tc>
          <w:tcPr>
            <w:tcW w:w="9037" w:type="dxa"/>
          </w:tcPr>
          <w:p w14:paraId="6E8E2D5F" w14:textId="31734CAE" w:rsidR="00633A39" w:rsidRPr="00633A39" w:rsidRDefault="00633A39" w:rsidP="00633A39">
            <w:pPr>
              <w:pStyle w:val="TCU-Ac-item9-1Linha"/>
              <w:rPr>
                <w:rFonts w:asciiTheme="minorHAnsi" w:eastAsiaTheme="minorHAnsi" w:hAnsiTheme="minorHAnsi" w:cstheme="minorBidi"/>
                <w:sz w:val="22"/>
                <w:szCs w:val="22"/>
                <w:lang w:eastAsia="en-US"/>
              </w:rPr>
            </w:pPr>
            <w:r w:rsidRPr="00633A39">
              <w:rPr>
                <w:rFonts w:asciiTheme="minorHAnsi" w:eastAsiaTheme="minorHAnsi" w:hAnsiTheme="minorHAnsi" w:cstheme="minorBidi"/>
                <w:sz w:val="22"/>
                <w:szCs w:val="22"/>
                <w:lang w:eastAsia="en-US"/>
              </w:rPr>
              <w:t xml:space="preserve">1.7. Determinar à Empresa Brasileira de Administração de Petróleo e Gás Natural S.A. – </w:t>
            </w:r>
            <w:proofErr w:type="spellStart"/>
            <w:r w:rsidRPr="00633A39">
              <w:rPr>
                <w:rFonts w:asciiTheme="minorHAnsi" w:eastAsiaTheme="minorHAnsi" w:hAnsiTheme="minorHAnsi" w:cstheme="minorBidi"/>
                <w:sz w:val="22"/>
                <w:szCs w:val="22"/>
                <w:lang w:eastAsia="en-US"/>
              </w:rPr>
              <w:t>PréSal</w:t>
            </w:r>
            <w:proofErr w:type="spellEnd"/>
            <w:r w:rsidRPr="00633A39">
              <w:rPr>
                <w:rFonts w:asciiTheme="minorHAnsi" w:eastAsiaTheme="minorHAnsi" w:hAnsiTheme="minorHAnsi" w:cstheme="minorBidi"/>
                <w:sz w:val="22"/>
                <w:szCs w:val="22"/>
                <w:lang w:eastAsia="en-US"/>
              </w:rPr>
              <w:t xml:space="preserve"> Petróleo S.A. (PPSA), com fundamento no art. 250, inciso II, Regimento Interno do TCU, que, no seu próximo Relatório de Gestão (referente ao exercício de 2019), atualize as informações sobre as medidas adotadas para atendimento às recomendações dispostas nos itens 9.2 e 9.3 do Acórdão 2.900/2015-TCU-Plenário.</w:t>
            </w:r>
          </w:p>
          <w:p w14:paraId="2F518947" w14:textId="660C2901" w:rsidR="00633A39" w:rsidRPr="00633A39" w:rsidRDefault="00633A39" w:rsidP="00633A39">
            <w:pPr>
              <w:pStyle w:val="TCU-Ac-item9-1Linha"/>
              <w:rPr>
                <w:rFonts w:asciiTheme="minorHAnsi" w:eastAsiaTheme="minorHAnsi" w:hAnsiTheme="minorHAnsi" w:cstheme="minorBidi"/>
                <w:sz w:val="22"/>
                <w:szCs w:val="22"/>
                <w:lang w:eastAsia="en-US"/>
              </w:rPr>
            </w:pPr>
          </w:p>
          <w:p w14:paraId="7B8DFEC0" w14:textId="2355B550" w:rsidR="00633A39" w:rsidRPr="00633A39" w:rsidRDefault="00633A39" w:rsidP="00633A39">
            <w:pPr>
              <w:pStyle w:val="TCU-Ac-item9-1Linha"/>
              <w:rPr>
                <w:rFonts w:asciiTheme="minorHAnsi" w:eastAsiaTheme="minorHAnsi" w:hAnsiTheme="minorHAnsi" w:cstheme="minorBidi"/>
                <w:sz w:val="22"/>
                <w:szCs w:val="22"/>
                <w:lang w:eastAsia="en-US"/>
              </w:rPr>
            </w:pPr>
            <w:r w:rsidRPr="00633A39">
              <w:rPr>
                <w:rFonts w:asciiTheme="minorHAnsi" w:eastAsiaTheme="minorHAnsi" w:hAnsiTheme="minorHAnsi" w:cstheme="minorBidi"/>
                <w:sz w:val="22"/>
                <w:szCs w:val="22"/>
                <w:lang w:eastAsia="en-US"/>
              </w:rPr>
              <w:t>Atendimento em anexo no link “</w:t>
            </w:r>
            <w:hyperlink r:id="rId7" w:tgtFrame="_blank" w:history="1">
              <w:r>
                <w:rPr>
                  <w:rStyle w:val="Hyperlink"/>
                  <w:rFonts w:ascii="Arial" w:hAnsi="Arial" w:cs="Arial"/>
                  <w:b/>
                  <w:bCs/>
                  <w:color w:val="00445E"/>
                  <w:sz w:val="21"/>
                  <w:szCs w:val="21"/>
                </w:rPr>
                <w:t>Atendimento ao Acórdão TCU n.º 956_2020_Plenário (PDF)</w:t>
              </w:r>
            </w:hyperlink>
            <w:r>
              <w:rPr>
                <w:rStyle w:val="Forte"/>
                <w:rFonts w:ascii="Arial" w:hAnsi="Arial" w:cs="Arial"/>
                <w:color w:val="6C6C6C"/>
                <w:sz w:val="21"/>
                <w:szCs w:val="21"/>
              </w:rPr>
              <w:t>”</w:t>
            </w:r>
          </w:p>
          <w:p w14:paraId="4C1F88DB" w14:textId="351E82D6" w:rsidR="00633A39" w:rsidRDefault="00633A39"/>
        </w:tc>
      </w:tr>
      <w:tr w:rsidR="00633A39" w14:paraId="60EBF740" w14:textId="77777777" w:rsidTr="00E634CE">
        <w:tc>
          <w:tcPr>
            <w:tcW w:w="1422" w:type="dxa"/>
          </w:tcPr>
          <w:p w14:paraId="4D38ED82" w14:textId="087D8C6B" w:rsidR="00633A39" w:rsidRDefault="00633A39">
            <w:r>
              <w:t>Acórdão 1262/2020 - Plenário</w:t>
            </w:r>
          </w:p>
        </w:tc>
        <w:tc>
          <w:tcPr>
            <w:tcW w:w="3535" w:type="dxa"/>
          </w:tcPr>
          <w:p w14:paraId="432AFF21" w14:textId="77777777" w:rsidR="00633A39" w:rsidRDefault="0063155F" w:rsidP="00633A39">
            <w:hyperlink r:id="rId8" w:anchor="/documento/acordao-completo/ppsa/%2520/DTRELEVANCIA%2520desc%252C%2520NUMACORDAOINT%2520desc/14/%2520" w:history="1">
              <w:r w:rsidR="00633A39" w:rsidRPr="00CD4470">
                <w:rPr>
                  <w:rStyle w:val="Hyperlink"/>
                </w:rPr>
                <w:t>https://pesquisa.apps.tcu.gov.br/#/documento/acordao-completo/ppsa/%2520/DTRELEVANCIA%2520desc%252C%2520NUMACORDAOINT%2520desc/14/%2520</w:t>
              </w:r>
            </w:hyperlink>
          </w:p>
          <w:p w14:paraId="1BFC6F6B" w14:textId="77777777" w:rsidR="00633A39" w:rsidRDefault="00633A39"/>
        </w:tc>
        <w:tc>
          <w:tcPr>
            <w:tcW w:w="9037" w:type="dxa"/>
          </w:tcPr>
          <w:p w14:paraId="2FED691B" w14:textId="77777777" w:rsidR="00E634CE" w:rsidRPr="00E634CE" w:rsidRDefault="00E634CE" w:rsidP="00E634CE">
            <w:pPr>
              <w:pStyle w:val="NormalWeb"/>
              <w:shd w:val="clear" w:color="auto" w:fill="FFFFFF"/>
              <w:spacing w:before="240" w:beforeAutospacing="0" w:after="0" w:afterAutospacing="0"/>
              <w:jc w:val="both"/>
              <w:rPr>
                <w:rFonts w:asciiTheme="minorHAnsi" w:eastAsiaTheme="minorHAnsi" w:hAnsiTheme="minorHAnsi" w:cstheme="minorBidi"/>
                <w:sz w:val="22"/>
                <w:szCs w:val="22"/>
                <w:lang w:eastAsia="en-US"/>
              </w:rPr>
            </w:pPr>
            <w:r w:rsidRPr="00E634CE">
              <w:rPr>
                <w:rFonts w:asciiTheme="minorHAnsi" w:eastAsiaTheme="minorHAnsi" w:hAnsiTheme="minorHAnsi" w:cstheme="minorBidi"/>
                <w:sz w:val="22"/>
                <w:szCs w:val="22"/>
                <w:lang w:eastAsia="en-US"/>
              </w:rPr>
              <w:t>9.2. determinar à Empresa Brasileira de Administração de Petróleo e Gás Natural S/A - Pré-Sal Petróleo S/A (PPSA) , com fundamento no art. 250, inciso II, do Regimento Interno/TCU, que adote as medidas abaixo indicadas, relativas ao Pregão Eletrônico 11/2019, e informe ao TCU, no prazo de 30 (trinta) dias, os encaminhamentos realizados:</w:t>
            </w:r>
          </w:p>
          <w:p w14:paraId="41E6009C" w14:textId="77777777" w:rsidR="00E634CE" w:rsidRPr="00E634CE" w:rsidRDefault="00E634CE" w:rsidP="00E634CE">
            <w:pPr>
              <w:pStyle w:val="NormalWeb"/>
              <w:shd w:val="clear" w:color="auto" w:fill="FFFFFF"/>
              <w:spacing w:before="240" w:beforeAutospacing="0" w:after="0" w:afterAutospacing="0"/>
              <w:jc w:val="both"/>
              <w:rPr>
                <w:rFonts w:asciiTheme="minorHAnsi" w:eastAsiaTheme="minorHAnsi" w:hAnsiTheme="minorHAnsi" w:cstheme="minorBidi"/>
                <w:sz w:val="22"/>
                <w:szCs w:val="22"/>
                <w:lang w:eastAsia="en-US"/>
              </w:rPr>
            </w:pPr>
            <w:r w:rsidRPr="00E634CE">
              <w:rPr>
                <w:rFonts w:asciiTheme="minorHAnsi" w:eastAsiaTheme="minorHAnsi" w:hAnsiTheme="minorHAnsi" w:cstheme="minorBidi"/>
                <w:sz w:val="22"/>
                <w:szCs w:val="22"/>
                <w:lang w:eastAsia="en-US"/>
              </w:rPr>
              <w:t>9.2.1. condicione a assinatura do contrato decorrente do certame às seguintes alterações na forma de execução do seu objeto, em função das irregularidades e riscos individualmente descritos a seguir:</w:t>
            </w:r>
          </w:p>
          <w:p w14:paraId="5F80161F" w14:textId="03BB2A95" w:rsidR="00AA00EE" w:rsidRPr="00E634CE" w:rsidRDefault="00E634CE" w:rsidP="00E634CE">
            <w:pPr>
              <w:pStyle w:val="NormalWeb"/>
              <w:shd w:val="clear" w:color="auto" w:fill="FFFFFF"/>
              <w:spacing w:before="240" w:beforeAutospacing="0" w:after="0" w:afterAutospacing="0"/>
              <w:jc w:val="both"/>
              <w:rPr>
                <w:rFonts w:asciiTheme="minorHAnsi" w:eastAsiaTheme="minorHAnsi" w:hAnsiTheme="minorHAnsi" w:cstheme="minorBidi"/>
                <w:sz w:val="22"/>
                <w:szCs w:val="22"/>
                <w:lang w:eastAsia="en-US"/>
              </w:rPr>
            </w:pPr>
            <w:r w:rsidRPr="00E634CE">
              <w:rPr>
                <w:rFonts w:asciiTheme="minorHAnsi" w:eastAsiaTheme="minorHAnsi" w:hAnsiTheme="minorHAnsi" w:cstheme="minorBidi"/>
                <w:sz w:val="22"/>
                <w:szCs w:val="22"/>
                <w:lang w:eastAsia="en-US"/>
              </w:rPr>
              <w:t>9.2.1.1. excluir a obrigação prevista no item 5.1 do edital, a qual exige que os serviços deverão ser executados por profissionais disponibilizados nas instalações da PPSA e de maneira regular, por 8 (oito) horas diárias de serviço no horário padrão das 09:00h às 18:00h, a fim de afastar a caracterização de habitualidade, pessoalidade e subordinação desses trabalhadores, requisitos caracterizadores de vínculo empregatício, nos moldes previstos no art. 3º da CLT, e, consequentemente, podendo levar à eventual condenação em ações trabalhistas, por responsabilização subsidiária, consoante o disposto Súmula TST 331, com potencial responsabilização subsidiária quanto aos encargos trabalhistas e previdenciários dos profissionais locados no contrato;</w:t>
            </w:r>
          </w:p>
          <w:p w14:paraId="604E09DC" w14:textId="77777777" w:rsidR="00E634CE" w:rsidRPr="00E634CE" w:rsidRDefault="00E634CE" w:rsidP="00E634CE">
            <w:pPr>
              <w:pStyle w:val="NormalWeb"/>
              <w:shd w:val="clear" w:color="auto" w:fill="FFFFFF"/>
              <w:spacing w:before="240" w:beforeAutospacing="0" w:after="0" w:afterAutospacing="0"/>
              <w:jc w:val="both"/>
              <w:rPr>
                <w:rFonts w:asciiTheme="minorHAnsi" w:eastAsiaTheme="minorHAnsi" w:hAnsiTheme="minorHAnsi" w:cstheme="minorBidi"/>
                <w:sz w:val="22"/>
                <w:szCs w:val="22"/>
                <w:lang w:eastAsia="en-US"/>
              </w:rPr>
            </w:pPr>
            <w:r w:rsidRPr="00E634CE">
              <w:rPr>
                <w:rFonts w:asciiTheme="minorHAnsi" w:eastAsiaTheme="minorHAnsi" w:hAnsiTheme="minorHAnsi" w:cstheme="minorBidi"/>
                <w:sz w:val="22"/>
                <w:szCs w:val="22"/>
                <w:lang w:eastAsia="en-US"/>
              </w:rPr>
              <w:lastRenderedPageBreak/>
              <w:t xml:space="preserve">9.2.1.2. caso a empresa contratada ainda assim optar por manter os profissionais alocados prestando serviços com habitualidade nas dependências da PPSA, definir medidas para avaliar o cumprimento das obrigações trabalhistas e previdenciárias </w:t>
            </w:r>
            <w:proofErr w:type="gramStart"/>
            <w:r w:rsidRPr="00E634CE">
              <w:rPr>
                <w:rFonts w:asciiTheme="minorHAnsi" w:eastAsiaTheme="minorHAnsi" w:hAnsiTheme="minorHAnsi" w:cstheme="minorBidi"/>
                <w:sz w:val="22"/>
                <w:szCs w:val="22"/>
                <w:lang w:eastAsia="en-US"/>
              </w:rPr>
              <w:t>desse profissionais</w:t>
            </w:r>
            <w:proofErr w:type="gramEnd"/>
            <w:r w:rsidRPr="00E634CE">
              <w:rPr>
                <w:rFonts w:asciiTheme="minorHAnsi" w:eastAsiaTheme="minorHAnsi" w:hAnsiTheme="minorHAnsi" w:cstheme="minorBidi"/>
                <w:sz w:val="22"/>
                <w:szCs w:val="22"/>
                <w:lang w:eastAsia="en-US"/>
              </w:rPr>
              <w:t>, a fim de evitar possível responsabilização subsidiária quanto aos encargos trabalhistas e previdenciários dos profissionais alocados no contrato;</w:t>
            </w:r>
          </w:p>
          <w:p w14:paraId="2A097E93" w14:textId="185D97EC" w:rsidR="00633A39" w:rsidRDefault="00E634CE" w:rsidP="00E634CE">
            <w:pPr>
              <w:pStyle w:val="NormalWeb"/>
              <w:shd w:val="clear" w:color="auto" w:fill="FFFFFF"/>
              <w:spacing w:before="240" w:beforeAutospacing="0" w:after="0" w:afterAutospacing="0"/>
              <w:jc w:val="both"/>
            </w:pPr>
            <w:r w:rsidRPr="00E634CE">
              <w:rPr>
                <w:rFonts w:asciiTheme="minorHAnsi" w:eastAsiaTheme="minorHAnsi" w:hAnsiTheme="minorHAnsi" w:cstheme="minorBidi"/>
                <w:sz w:val="22"/>
                <w:szCs w:val="22"/>
                <w:lang w:eastAsia="en-US"/>
              </w:rPr>
              <w:t>9.2.1.3. estabelecer que, previamente a cada demanda por serviço (estudos, análises, avaliações, pareceres técnicos etc.) , deverá ser fixado o quantitativo de horas necessárias para executá-lo, condizente com a complexidade de cada trabalho, de forma a atender ao disposto no art. 69, II, III e IV, da Lei 13.303/2016, bem como os níveis objetivos de qualidade esperados para cada produto entregue, considerando que a ausência de previsões desse tipo conduzem ao risco de remuneração pela ineficiência (paradoxo lucro-incompetência) .</w:t>
            </w:r>
          </w:p>
          <w:p w14:paraId="2973C944" w14:textId="77777777" w:rsidR="00633A39" w:rsidRDefault="00633A39" w:rsidP="00E634CE">
            <w:pPr>
              <w:autoSpaceDE w:val="0"/>
              <w:autoSpaceDN w:val="0"/>
              <w:adjustRightInd w:val="0"/>
              <w:jc w:val="both"/>
            </w:pPr>
          </w:p>
          <w:p w14:paraId="3E4B1185" w14:textId="21456D2A" w:rsidR="00633A39" w:rsidRPr="00E634CE" w:rsidRDefault="00633A39" w:rsidP="00E634CE">
            <w:pPr>
              <w:autoSpaceDE w:val="0"/>
              <w:autoSpaceDN w:val="0"/>
              <w:adjustRightInd w:val="0"/>
              <w:jc w:val="both"/>
            </w:pPr>
            <w:r>
              <w:t xml:space="preserve">Em atendimento à determinação, a PPSA encaminhou a </w:t>
            </w:r>
            <w:r w:rsidRPr="00E634CE">
              <w:t>Carta PPSA-PRE nº 190/2020</w:t>
            </w:r>
            <w:r w:rsidR="00453039">
              <w:t>,</w:t>
            </w:r>
            <w:r w:rsidRPr="00E634CE">
              <w:t xml:space="preserve"> de 22 de junho de 2020</w:t>
            </w:r>
            <w:r w:rsidR="00453039">
              <w:t>,</w:t>
            </w:r>
            <w:r w:rsidRPr="00E634CE">
              <w:t xml:space="preserve"> ao Tribunal de Contas da União.</w:t>
            </w:r>
          </w:p>
        </w:tc>
      </w:tr>
      <w:tr w:rsidR="00AA00EE" w14:paraId="142A0214" w14:textId="77777777" w:rsidTr="00E634CE">
        <w:tc>
          <w:tcPr>
            <w:tcW w:w="1422" w:type="dxa"/>
          </w:tcPr>
          <w:p w14:paraId="2C541158" w14:textId="26086AE1" w:rsidR="00AA00EE" w:rsidRDefault="00AA00EE">
            <w:hyperlink r:id="rId9" w:tgtFrame="_blank" w:history="1">
              <w:r w:rsidRPr="00AA00EE">
                <w:t>ACÓRDÃO DE RELAÇÃO 2647/2020 - PLENÁRIO</w:t>
              </w:r>
            </w:hyperlink>
          </w:p>
        </w:tc>
        <w:tc>
          <w:tcPr>
            <w:tcW w:w="3535" w:type="dxa"/>
          </w:tcPr>
          <w:p w14:paraId="302A1FBB" w14:textId="3E2E69CF" w:rsidR="00AA00EE" w:rsidRDefault="00AA00EE" w:rsidP="00633A39">
            <w:hyperlink r:id="rId10" w:history="1">
              <w:r w:rsidRPr="0085249D">
                <w:rPr>
                  <w:rStyle w:val="Hyperlink"/>
                </w:rPr>
                <w:t>https://pesquisa.apps.tcu.gov.br/#/documento/acordao-completo/ppsa/%2520/DTRELEVANCIA%2520desc%252C%2520NUMACORDAOINT%2520desc/3/%2520</w:t>
              </w:r>
            </w:hyperlink>
          </w:p>
        </w:tc>
        <w:tc>
          <w:tcPr>
            <w:tcW w:w="9037" w:type="dxa"/>
          </w:tcPr>
          <w:p w14:paraId="5B101CB4" w14:textId="77A33CCD" w:rsidR="00AA00EE" w:rsidRPr="00E634CE" w:rsidRDefault="00AA00EE" w:rsidP="00E634CE">
            <w:pPr>
              <w:pStyle w:val="NormalWeb"/>
              <w:shd w:val="clear" w:color="auto" w:fill="FFFFFF"/>
              <w:spacing w:before="24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Não há.</w:t>
            </w:r>
          </w:p>
        </w:tc>
      </w:tr>
      <w:tr w:rsidR="00AA00EE" w14:paraId="0E95C157" w14:textId="77777777" w:rsidTr="00E634CE">
        <w:tc>
          <w:tcPr>
            <w:tcW w:w="1422" w:type="dxa"/>
          </w:tcPr>
          <w:p w14:paraId="5A409606" w14:textId="0D8E4C21" w:rsidR="00AA00EE" w:rsidRDefault="00AA00EE">
            <w:hyperlink r:id="rId11" w:tgtFrame="_blank" w:history="1">
              <w:r w:rsidRPr="00AA00EE">
                <w:t>ACÓRDÃO DE RELAÇÃO 2052/2020 - PLENÁRIO</w:t>
              </w:r>
            </w:hyperlink>
          </w:p>
        </w:tc>
        <w:tc>
          <w:tcPr>
            <w:tcW w:w="3535" w:type="dxa"/>
          </w:tcPr>
          <w:p w14:paraId="7AC852FF" w14:textId="469A0BEB" w:rsidR="00AA00EE" w:rsidRDefault="00AA00EE" w:rsidP="00633A39">
            <w:hyperlink r:id="rId12" w:history="1">
              <w:r w:rsidRPr="0085249D">
                <w:rPr>
                  <w:rStyle w:val="Hyperlink"/>
                </w:rPr>
                <w:t>https://pesquisa.apps.tcu.gov.br/#/documento/acordao-completo/ppsa/%2520/DTRELEVANCIA%2520desc%252C%2520NUMACORDAOINT%2520desc/10/%2520</w:t>
              </w:r>
            </w:hyperlink>
          </w:p>
        </w:tc>
        <w:tc>
          <w:tcPr>
            <w:tcW w:w="9037" w:type="dxa"/>
          </w:tcPr>
          <w:p w14:paraId="7224F346" w14:textId="39DD1755" w:rsidR="00AA00EE" w:rsidRDefault="00AA00EE" w:rsidP="00E634CE">
            <w:pPr>
              <w:pStyle w:val="NormalWeb"/>
              <w:shd w:val="clear" w:color="auto" w:fill="FFFFFF"/>
              <w:spacing w:before="24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Não há.</w:t>
            </w:r>
          </w:p>
        </w:tc>
      </w:tr>
      <w:tr w:rsidR="00AA00EE" w14:paraId="54E74730" w14:textId="77777777" w:rsidTr="00E634CE">
        <w:tc>
          <w:tcPr>
            <w:tcW w:w="1422" w:type="dxa"/>
          </w:tcPr>
          <w:p w14:paraId="766DBF82" w14:textId="0DA34D71" w:rsidR="00AA00EE" w:rsidRDefault="00321E71">
            <w:hyperlink r:id="rId13" w:tgtFrame="_blank" w:history="1">
              <w:r w:rsidRPr="00321E71">
                <w:t>ACÓRDÃO DE RELAÇÃO 1928/2020 - PLENÁRIO</w:t>
              </w:r>
            </w:hyperlink>
          </w:p>
        </w:tc>
        <w:tc>
          <w:tcPr>
            <w:tcW w:w="3535" w:type="dxa"/>
          </w:tcPr>
          <w:p w14:paraId="6B58DE6D" w14:textId="505A644D" w:rsidR="00AA00EE" w:rsidRDefault="00321E71" w:rsidP="00633A39">
            <w:hyperlink r:id="rId14" w:history="1">
              <w:r w:rsidRPr="0085249D">
                <w:rPr>
                  <w:rStyle w:val="Hyperlink"/>
                </w:rPr>
                <w:t>https://pesquisa.apps.tcu.gov.br/#/documento/acordao-completo/ppsa/%2520/DTRELEVANCIA%2520desc%252C%2520NUMACORDAOINT%2520desc/11/%2520</w:t>
              </w:r>
            </w:hyperlink>
          </w:p>
        </w:tc>
        <w:tc>
          <w:tcPr>
            <w:tcW w:w="9037" w:type="dxa"/>
          </w:tcPr>
          <w:p w14:paraId="4B59F3B5" w14:textId="72C11210" w:rsidR="00AA00EE" w:rsidRDefault="00321E71" w:rsidP="00E634CE">
            <w:pPr>
              <w:pStyle w:val="NormalWeb"/>
              <w:shd w:val="clear" w:color="auto" w:fill="FFFFFF"/>
              <w:spacing w:before="24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Não há.</w:t>
            </w:r>
          </w:p>
        </w:tc>
      </w:tr>
      <w:tr w:rsidR="00321E71" w14:paraId="6CEAC4D6" w14:textId="77777777" w:rsidTr="00E634CE">
        <w:tc>
          <w:tcPr>
            <w:tcW w:w="1422" w:type="dxa"/>
          </w:tcPr>
          <w:p w14:paraId="1818544A" w14:textId="33F7F308" w:rsidR="00321E71" w:rsidRDefault="00321E71">
            <w:hyperlink r:id="rId15" w:tgtFrame="_blank" w:history="1">
              <w:r w:rsidRPr="00321E71">
                <w:t>ACÓRDÃO 1344/2020 - PLENÁRIO</w:t>
              </w:r>
            </w:hyperlink>
          </w:p>
        </w:tc>
        <w:tc>
          <w:tcPr>
            <w:tcW w:w="3535" w:type="dxa"/>
          </w:tcPr>
          <w:p w14:paraId="78666895" w14:textId="45B8A30A" w:rsidR="00321E71" w:rsidRDefault="00321E71" w:rsidP="00633A39">
            <w:hyperlink r:id="rId16" w:history="1">
              <w:r w:rsidRPr="0085249D">
                <w:rPr>
                  <w:rStyle w:val="Hyperlink"/>
                </w:rPr>
                <w:t>https://pesquisa.apps.tcu.gov.br/#/documento/acordao-completo/ppsa/%2520/DTRELEVANCIA%2520desc%252C%2520NUMACORDAOINT%2520desc/13/%2520</w:t>
              </w:r>
            </w:hyperlink>
          </w:p>
        </w:tc>
        <w:tc>
          <w:tcPr>
            <w:tcW w:w="9037" w:type="dxa"/>
          </w:tcPr>
          <w:p w14:paraId="0BC703D5" w14:textId="5507CC39" w:rsidR="00321E71" w:rsidRDefault="00321E71" w:rsidP="00E634CE">
            <w:pPr>
              <w:pStyle w:val="NormalWeb"/>
              <w:shd w:val="clear" w:color="auto" w:fill="FFFFFF"/>
              <w:spacing w:before="240" w:beforeAutospacing="0" w:after="0" w:afterAutospacing="0"/>
              <w:jc w:val="both"/>
              <w:rPr>
                <w:rFonts w:asciiTheme="minorHAnsi" w:eastAsiaTheme="minorHAnsi" w:hAnsiTheme="minorHAnsi" w:cstheme="minorBidi"/>
                <w:sz w:val="22"/>
                <w:szCs w:val="22"/>
                <w:lang w:eastAsia="en-US"/>
              </w:rPr>
            </w:pPr>
            <w:bookmarkStart w:id="0" w:name="_Hlk68087116"/>
            <w:r>
              <w:rPr>
                <w:rFonts w:asciiTheme="minorHAnsi" w:eastAsiaTheme="minorHAnsi" w:hAnsiTheme="minorHAnsi" w:cstheme="minorBidi"/>
                <w:sz w:val="22"/>
                <w:szCs w:val="22"/>
                <w:lang w:eastAsia="en-US"/>
              </w:rPr>
              <w:t>Não há.</w:t>
            </w:r>
            <w:bookmarkEnd w:id="0"/>
          </w:p>
        </w:tc>
      </w:tr>
      <w:tr w:rsidR="00321E71" w14:paraId="47D3425A" w14:textId="77777777" w:rsidTr="00E634CE">
        <w:tc>
          <w:tcPr>
            <w:tcW w:w="1422" w:type="dxa"/>
          </w:tcPr>
          <w:p w14:paraId="75B7F4FC" w14:textId="3F63F873" w:rsidR="00321E71" w:rsidRDefault="00321E71">
            <w:hyperlink r:id="rId17" w:tgtFrame="_blank" w:history="1">
              <w:r w:rsidRPr="00321E71">
                <w:t>ACÓRDÃO 3843/2020 - PRIMEIRA CÂMARA</w:t>
              </w:r>
            </w:hyperlink>
          </w:p>
        </w:tc>
        <w:tc>
          <w:tcPr>
            <w:tcW w:w="3535" w:type="dxa"/>
          </w:tcPr>
          <w:p w14:paraId="2D3E6BDF" w14:textId="2B56969D" w:rsidR="00321E71" w:rsidRDefault="00321E71" w:rsidP="00633A39">
            <w:hyperlink r:id="rId18" w:history="1">
              <w:r w:rsidRPr="0085249D">
                <w:rPr>
                  <w:rStyle w:val="Hyperlink"/>
                </w:rPr>
                <w:t>https://pesquisa.apps.tcu.gov.br/#/documento/acordao-completo/ppsa/%2520/DTRELEVANCIA%2520desc%252C%2520NUMACORDAOINT%2520desc/16/%2520</w:t>
              </w:r>
            </w:hyperlink>
          </w:p>
        </w:tc>
        <w:tc>
          <w:tcPr>
            <w:tcW w:w="9037" w:type="dxa"/>
          </w:tcPr>
          <w:p w14:paraId="4EBD1B75" w14:textId="4499970C" w:rsidR="00321E71" w:rsidRDefault="00321E71" w:rsidP="00E634CE">
            <w:pPr>
              <w:pStyle w:val="NormalWeb"/>
              <w:shd w:val="clear" w:color="auto" w:fill="FFFFFF"/>
              <w:spacing w:before="24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Não há.</w:t>
            </w:r>
          </w:p>
        </w:tc>
      </w:tr>
    </w:tbl>
    <w:p w14:paraId="7A3C3DDB" w14:textId="77777777" w:rsidR="00C64B90" w:rsidRDefault="00C64B90"/>
    <w:sectPr w:rsidR="00C64B90" w:rsidSect="0098785E">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28F25" w14:textId="77777777" w:rsidR="0063155F" w:rsidRDefault="0063155F" w:rsidP="00E634CE">
      <w:pPr>
        <w:spacing w:after="0" w:line="240" w:lineRule="auto"/>
      </w:pPr>
      <w:r>
        <w:separator/>
      </w:r>
    </w:p>
  </w:endnote>
  <w:endnote w:type="continuationSeparator" w:id="0">
    <w:p w14:paraId="5527ACB7" w14:textId="77777777" w:rsidR="0063155F" w:rsidRDefault="0063155F" w:rsidP="00E6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DF5E2" w14:textId="77777777" w:rsidR="0063155F" w:rsidRDefault="0063155F" w:rsidP="00E634CE">
      <w:pPr>
        <w:spacing w:after="0" w:line="240" w:lineRule="auto"/>
      </w:pPr>
      <w:r>
        <w:separator/>
      </w:r>
    </w:p>
  </w:footnote>
  <w:footnote w:type="continuationSeparator" w:id="0">
    <w:p w14:paraId="64B2B99A" w14:textId="77777777" w:rsidR="0063155F" w:rsidRDefault="0063155F" w:rsidP="00E634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5E"/>
    <w:rsid w:val="00127754"/>
    <w:rsid w:val="001E6DE6"/>
    <w:rsid w:val="00321E71"/>
    <w:rsid w:val="00453039"/>
    <w:rsid w:val="005D52E2"/>
    <w:rsid w:val="0063155F"/>
    <w:rsid w:val="00633A39"/>
    <w:rsid w:val="0064106F"/>
    <w:rsid w:val="0098785E"/>
    <w:rsid w:val="00A55E21"/>
    <w:rsid w:val="00AA00EE"/>
    <w:rsid w:val="00BC7C35"/>
    <w:rsid w:val="00C64B90"/>
    <w:rsid w:val="00D90CAB"/>
    <w:rsid w:val="00E634CE"/>
    <w:rsid w:val="00E97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2FEBB"/>
  <w15:chartTrackingRefBased/>
  <w15:docId w15:val="{AE4D7CA5-C90A-403B-8AEF-128C34DE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3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Ac-item9-1Linha">
    <w:name w:val="TCU -  Ac - item 9 - 1ª Linha"/>
    <w:basedOn w:val="Normal"/>
    <w:qFormat/>
    <w:rsid w:val="00633A39"/>
    <w:pPr>
      <w:tabs>
        <w:tab w:val="left" w:pos="1134"/>
      </w:tabs>
      <w:autoSpaceDE w:val="0"/>
      <w:autoSpaceDN w:val="0"/>
      <w:spacing w:line="240" w:lineRule="auto"/>
      <w:jc w:val="both"/>
    </w:pPr>
    <w:rPr>
      <w:rFonts w:ascii="Times New Roman" w:eastAsia="MS Mincho" w:hAnsi="Times New Roman" w:cs="Times New Roman"/>
      <w:sz w:val="24"/>
      <w:szCs w:val="20"/>
      <w:lang w:eastAsia="pt-BR"/>
    </w:rPr>
  </w:style>
  <w:style w:type="character" w:styleId="Forte">
    <w:name w:val="Strong"/>
    <w:basedOn w:val="Fontepargpadro"/>
    <w:uiPriority w:val="22"/>
    <w:qFormat/>
    <w:rsid w:val="00633A39"/>
    <w:rPr>
      <w:b/>
      <w:bCs/>
    </w:rPr>
  </w:style>
  <w:style w:type="character" w:styleId="Hyperlink">
    <w:name w:val="Hyperlink"/>
    <w:basedOn w:val="Fontepargpadro"/>
    <w:uiPriority w:val="99"/>
    <w:unhideWhenUsed/>
    <w:rsid w:val="00633A39"/>
    <w:rPr>
      <w:color w:val="0000FF"/>
      <w:u w:val="single"/>
    </w:rPr>
  </w:style>
  <w:style w:type="paragraph" w:styleId="NormalWeb">
    <w:name w:val="Normal (Web)"/>
    <w:basedOn w:val="Normal"/>
    <w:uiPriority w:val="99"/>
    <w:unhideWhenUsed/>
    <w:rsid w:val="00E634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634CE"/>
    <w:rPr>
      <w:i/>
      <w:iCs/>
    </w:rPr>
  </w:style>
  <w:style w:type="paragraph" w:styleId="Cabealho">
    <w:name w:val="header"/>
    <w:basedOn w:val="Normal"/>
    <w:link w:val="CabealhoChar"/>
    <w:uiPriority w:val="99"/>
    <w:unhideWhenUsed/>
    <w:rsid w:val="00E634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34CE"/>
  </w:style>
  <w:style w:type="paragraph" w:styleId="Rodap">
    <w:name w:val="footer"/>
    <w:basedOn w:val="Normal"/>
    <w:link w:val="RodapChar"/>
    <w:uiPriority w:val="99"/>
    <w:unhideWhenUsed/>
    <w:rsid w:val="00E634CE"/>
    <w:pPr>
      <w:tabs>
        <w:tab w:val="center" w:pos="4252"/>
        <w:tab w:val="right" w:pos="8504"/>
      </w:tabs>
      <w:spacing w:after="0" w:line="240" w:lineRule="auto"/>
    </w:pPr>
  </w:style>
  <w:style w:type="character" w:customStyle="1" w:styleId="RodapChar">
    <w:name w:val="Rodapé Char"/>
    <w:basedOn w:val="Fontepargpadro"/>
    <w:link w:val="Rodap"/>
    <w:uiPriority w:val="99"/>
    <w:rsid w:val="00E634CE"/>
  </w:style>
  <w:style w:type="character" w:styleId="MenoPendente">
    <w:name w:val="Unresolved Mention"/>
    <w:basedOn w:val="Fontepargpadro"/>
    <w:uiPriority w:val="99"/>
    <w:semiHidden/>
    <w:unhideWhenUsed/>
    <w:rsid w:val="00AA0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9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quisa.apps.tcu.gov.br/" TargetMode="External"/><Relationship Id="rId13" Type="http://schemas.openxmlformats.org/officeDocument/2006/relationships/hyperlink" Target="https://contas.tcu.gov.br/sisdoc/ObterDocumentoSisdoc?codVersao=editavel&amp;codArqCatalogado=20500576" TargetMode="External"/><Relationship Id="rId18" Type="http://schemas.openxmlformats.org/officeDocument/2006/relationships/hyperlink" Target="https://pesquisa.apps.tcu.gov.br/#/documento/acordao-completo/ppsa/%2520/DTRELEVANCIA%2520desc%252C%2520NUMACORDAOINT%2520desc/16/%2520" TargetMode="External"/><Relationship Id="rId3" Type="http://schemas.openxmlformats.org/officeDocument/2006/relationships/webSettings" Target="webSettings.xml"/><Relationship Id="rId7" Type="http://schemas.openxmlformats.org/officeDocument/2006/relationships/hyperlink" Target="https://www.presalpetroleo.gov.br/ppsa/conteudo/acordao-tcu.pdf" TargetMode="External"/><Relationship Id="rId12" Type="http://schemas.openxmlformats.org/officeDocument/2006/relationships/hyperlink" Target="https://pesquisa.apps.tcu.gov.br/#/documento/acordao-completo/ppsa/%2520/DTRELEVANCIA%2520desc%252C%2520NUMACORDAOINT%2520desc/10/%2520" TargetMode="External"/><Relationship Id="rId17" Type="http://schemas.openxmlformats.org/officeDocument/2006/relationships/hyperlink" Target="https://contas.tcu.gov.br/sagas/SvlVisualizarRelVotoAcRtf?codFiltro=SAGAS-SESSAO-ENCERRADA&amp;seOcultaPagina=S&amp;item0=695989" TargetMode="External"/><Relationship Id="rId2" Type="http://schemas.openxmlformats.org/officeDocument/2006/relationships/settings" Target="settings.xml"/><Relationship Id="rId16" Type="http://schemas.openxmlformats.org/officeDocument/2006/relationships/hyperlink" Target="https://pesquisa.apps.tcu.gov.br/#/documento/acordao-completo/ppsa/%2520/DTRELEVANCIA%2520desc%252C%2520NUMACORDAOINT%2520desc/13/%252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esquisa.apps.tcu.gov.br/" TargetMode="External"/><Relationship Id="rId11" Type="http://schemas.openxmlformats.org/officeDocument/2006/relationships/hyperlink" Target="https://contas.tcu.gov.br/sisdoc/ObterDocumentoSisdoc?codVersao=editavel&amp;codArqCatalogado=20680250" TargetMode="External"/><Relationship Id="rId5" Type="http://schemas.openxmlformats.org/officeDocument/2006/relationships/endnotes" Target="endnotes.xml"/><Relationship Id="rId15" Type="http://schemas.openxmlformats.org/officeDocument/2006/relationships/hyperlink" Target="https://contas.tcu.gov.br/sagas/SvlVisualizarRelVotoAcRtf?codFiltro=SAGAS-SESSAO-ENCERRADA&amp;seOcultaPagina=S&amp;item0=708600" TargetMode="External"/><Relationship Id="rId10" Type="http://schemas.openxmlformats.org/officeDocument/2006/relationships/hyperlink" Target="https://pesquisa.apps.tcu.gov.br/#/documento/acordao-completo/ppsa/%2520/DTRELEVANCIA%2520desc%252C%2520NUMACORDAOINT%2520desc/3/%252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ntas.tcu.gov.br/sisdoc/ObterDocumentoSisdoc?codVersao=editavel&amp;codArqCatalogado=21088483" TargetMode="External"/><Relationship Id="rId14" Type="http://schemas.openxmlformats.org/officeDocument/2006/relationships/hyperlink" Target="https://pesquisa.apps.tcu.gov.br/#/documento/acordao-completo/ppsa/%2520/DTRELEVANCIA%2520desc%252C%2520NUMACORDAOINT%2520desc/11/%252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5188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Cabral de Barros</dc:creator>
  <cp:keywords/>
  <dc:description/>
  <cp:lastModifiedBy>Leonardo Cabral de Barros</cp:lastModifiedBy>
  <cp:revision>2</cp:revision>
  <cp:lastPrinted>2021-03-25T13:55:00Z</cp:lastPrinted>
  <dcterms:created xsi:type="dcterms:W3CDTF">2021-03-31T15:45:00Z</dcterms:created>
  <dcterms:modified xsi:type="dcterms:W3CDTF">2021-03-31T15:45:00Z</dcterms:modified>
</cp:coreProperties>
</file>