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1572B" w14:textId="77777777" w:rsidR="00922BB2" w:rsidRPr="00FA1EAF" w:rsidRDefault="00922BB2" w:rsidP="00FA1EAF">
      <w:pPr>
        <w:rPr>
          <w:rFonts w:asciiTheme="minorHAnsi" w:hAnsiTheme="minorHAnsi" w:cstheme="minorHAnsi"/>
          <w:b/>
          <w:sz w:val="22"/>
          <w:szCs w:val="36"/>
          <w:lang w:eastAsia="en-US"/>
        </w:rPr>
      </w:pPr>
      <w:r w:rsidRPr="00FA1EAF">
        <w:rPr>
          <w:rFonts w:asciiTheme="minorHAnsi" w:hAnsiTheme="minorHAnsi" w:cstheme="minorHAnsi"/>
          <w:b/>
          <w:sz w:val="22"/>
          <w:szCs w:val="36"/>
          <w:lang w:eastAsia="en-US"/>
        </w:rPr>
        <w:t>SUMÁRIO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F99E57C" w14:textId="77777777" w:rsidR="004C2060" w:rsidRPr="00CD2415" w:rsidRDefault="004C2060" w:rsidP="00FA1EAF">
          <w:pPr>
            <w:pStyle w:val="CabealhodoSumrio"/>
            <w:spacing w:before="0"/>
            <w:rPr>
              <w:rFonts w:asciiTheme="minorHAnsi" w:hAnsiTheme="minorHAnsi" w:cstheme="minorHAnsi"/>
            </w:rPr>
          </w:pPr>
        </w:p>
        <w:p w14:paraId="25FE6AB5" w14:textId="77777777" w:rsidR="00FD736E" w:rsidRPr="00FD736E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FD736E">
            <w:rPr>
              <w:rFonts w:cstheme="minorHAnsi"/>
            </w:rPr>
            <w:fldChar w:fldCharType="begin"/>
          </w:r>
          <w:r w:rsidRPr="00FD736E">
            <w:rPr>
              <w:rFonts w:cstheme="minorHAnsi"/>
            </w:rPr>
            <w:instrText xml:space="preserve"> TOC \o "1-3" \h \z \u </w:instrText>
          </w:r>
          <w:r w:rsidRPr="00FD736E">
            <w:rPr>
              <w:rFonts w:cstheme="minorHAnsi"/>
            </w:rPr>
            <w:fldChar w:fldCharType="separate"/>
          </w:r>
          <w:hyperlink w:anchor="_Toc492663135" w:history="1">
            <w:r w:rsidR="00FD736E" w:rsidRPr="00FD736E">
              <w:rPr>
                <w:rStyle w:val="Hyperlink"/>
                <w:noProof/>
              </w:rPr>
              <w:t>1.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Objetivo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_Toc492663135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- 2 -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2C50712E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36" w:history="1">
            <w:r w:rsidR="00FD736E" w:rsidRPr="00FD736E">
              <w:rPr>
                <w:rStyle w:val="Hyperlink"/>
                <w:noProof/>
              </w:rPr>
              <w:t>2.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Aplicação e Abrangência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_Toc492663136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- 2 -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2512B9DE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37" w:history="1">
            <w:r w:rsidR="00FD736E" w:rsidRPr="00FD736E">
              <w:rPr>
                <w:rStyle w:val="Hyperlink"/>
                <w:noProof/>
              </w:rPr>
              <w:t>3.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Documentos de Referência e Complementares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_Toc492663137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- 2 -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5A71506A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38" w:history="1">
            <w:r w:rsidR="00FD736E" w:rsidRPr="00FD736E">
              <w:rPr>
                <w:rStyle w:val="Hyperlink"/>
                <w:noProof/>
              </w:rPr>
              <w:t>4.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Definições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_Toc492663138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- 3 -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4826D962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39" w:history="1">
            <w:r w:rsidR="00FD736E" w:rsidRPr="00FD736E">
              <w:rPr>
                <w:rStyle w:val="Hyperlink"/>
                <w:noProof/>
              </w:rPr>
              <w:t>5.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Autoridade e Competências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_Toc492663139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- 4 -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156E6D81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40" w:history="1">
            <w:r w:rsidR="00FD736E" w:rsidRPr="00FD736E">
              <w:rPr>
                <w:rStyle w:val="Hyperlink"/>
                <w:noProof/>
              </w:rPr>
              <w:t>6.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Descrição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_Toc492663140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- 4 -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486BACBA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1" w:history="1">
            <w:r w:rsidR="00FD736E" w:rsidRPr="00FD736E">
              <w:rPr>
                <w:rStyle w:val="Hyperlink"/>
                <w:noProof/>
              </w:rPr>
              <w:t>6.1.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Descrição Geral do Processo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_Toc492663141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- 4 -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65CE449E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2" w:history="1">
            <w:r w:rsidR="00FD736E" w:rsidRPr="00FD736E">
              <w:rPr>
                <w:rStyle w:val="Hyperlink"/>
                <w:noProof/>
              </w:rPr>
              <w:t>6.2.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Validações e Cálculos do SGPP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_Toc492663142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- 5 -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352B5490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3" w:history="1">
            <w:r w:rsidR="00FD736E" w:rsidRPr="00FD736E">
              <w:rPr>
                <w:rStyle w:val="Hyperlink"/>
                <w:noProof/>
              </w:rPr>
              <w:t>6.3.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Procedimento de Equalização de Gastos e Volumes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_Toc492663143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- 6 -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5A57F91E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4" w:history="1">
            <w:r w:rsidR="00FD736E" w:rsidRPr="00FD736E">
              <w:rPr>
                <w:rStyle w:val="Hyperlink"/>
                <w:noProof/>
              </w:rPr>
              <w:t>6.4.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Monitoramento do Processo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_Toc492663144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- 13 -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7BFCE7CF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5" w:history="1">
            <w:r w:rsidR="00FD736E" w:rsidRPr="00FD736E">
              <w:rPr>
                <w:rStyle w:val="Hyperlink"/>
                <w:noProof/>
              </w:rPr>
              <w:t>6.5.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Prazos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_Toc492663145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- 13 -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3055F054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46" w:history="1">
            <w:r w:rsidR="00FD736E" w:rsidRPr="00FD736E">
              <w:rPr>
                <w:rStyle w:val="Hyperlink"/>
                <w:noProof/>
              </w:rPr>
              <w:t>7.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Índice de Revisões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_Toc492663146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- 14 -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6BF1915E" w14:textId="77777777" w:rsidR="00FD736E" w:rsidRPr="00FD736E" w:rsidRDefault="00146C78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147" w:history="1">
            <w:r w:rsidR="00FD736E" w:rsidRPr="00FD736E">
              <w:rPr>
                <w:rStyle w:val="Hyperlink"/>
                <w:noProof/>
              </w:rPr>
              <w:t>8.</w:t>
            </w:r>
            <w:r w:rsidR="00FD736E" w:rsidRPr="00FD736E">
              <w:rPr>
                <w:rFonts w:eastAsiaTheme="minorEastAsia"/>
                <w:noProof/>
                <w:lang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Anexos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_Toc492663147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- 15 -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2D62AE99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8" w:history="1">
            <w:r w:rsidR="00FD736E" w:rsidRPr="00FD736E">
              <w:rPr>
                <w:rStyle w:val="Hyperlink"/>
                <w:noProof/>
              </w:rPr>
              <w:t>8.1.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Anexo I - Padrão de Processo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_Toc492663148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- 15 -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3DD0E957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49" w:history="1">
            <w:r w:rsidR="00FD736E" w:rsidRPr="00FD736E">
              <w:rPr>
                <w:rStyle w:val="Hyperlink"/>
                <w:noProof/>
              </w:rPr>
              <w:t>8.2.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Anexo II - Matriz de Papéis e Responsabilidades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_Toc492663149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- 16 -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12948C92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50" w:history="1">
            <w:r w:rsidR="00FD736E" w:rsidRPr="00FD736E">
              <w:rPr>
                <w:rStyle w:val="Hyperlink"/>
                <w:noProof/>
              </w:rPr>
              <w:t>8.3.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Anexo III - Indicadores de Performance do Processo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_Toc492663150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- 17 -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67E167F9" w14:textId="77777777" w:rsidR="00FD736E" w:rsidRPr="00FD736E" w:rsidRDefault="00146C78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151" w:history="1">
            <w:r w:rsidR="00FD736E" w:rsidRPr="00FD736E">
              <w:rPr>
                <w:rStyle w:val="Hyperlink"/>
                <w:noProof/>
              </w:rPr>
              <w:t>8.4.</w:t>
            </w:r>
            <w:r w:rsidR="00FD736E" w:rsidRPr="00FD736E">
              <w:rPr>
                <w:rFonts w:cstheme="minorBidi"/>
                <w:noProof/>
                <w:lang w:val="pt-BR" w:eastAsia="pt-BR"/>
              </w:rPr>
              <w:tab/>
            </w:r>
            <w:r w:rsidR="00FD736E" w:rsidRPr="00FD736E">
              <w:rPr>
                <w:rStyle w:val="Hyperlink"/>
                <w:noProof/>
              </w:rPr>
              <w:t>Anexo IV - Mapa de Interface dos Processos</w:t>
            </w:r>
            <w:r w:rsidR="00FD736E" w:rsidRPr="00FD736E">
              <w:rPr>
                <w:noProof/>
                <w:webHidden/>
              </w:rPr>
              <w:tab/>
            </w:r>
            <w:r w:rsidR="00FD736E" w:rsidRPr="00FD736E">
              <w:rPr>
                <w:noProof/>
                <w:webHidden/>
              </w:rPr>
              <w:fldChar w:fldCharType="begin"/>
            </w:r>
            <w:r w:rsidR="00FD736E" w:rsidRPr="00FD736E">
              <w:rPr>
                <w:noProof/>
                <w:webHidden/>
              </w:rPr>
              <w:instrText xml:space="preserve"> PAGEREF _Toc492663151 \h </w:instrText>
            </w:r>
            <w:r w:rsidR="00FD736E" w:rsidRPr="00FD736E">
              <w:rPr>
                <w:noProof/>
                <w:webHidden/>
              </w:rPr>
            </w:r>
            <w:r w:rsidR="00FD736E" w:rsidRPr="00FD736E">
              <w:rPr>
                <w:noProof/>
                <w:webHidden/>
              </w:rPr>
              <w:fldChar w:fldCharType="separate"/>
            </w:r>
            <w:r w:rsidR="00FD736E" w:rsidRPr="00FD736E">
              <w:rPr>
                <w:noProof/>
                <w:webHidden/>
              </w:rPr>
              <w:t>- 18 -</w:t>
            </w:r>
            <w:r w:rsidR="00FD736E" w:rsidRPr="00FD736E">
              <w:rPr>
                <w:noProof/>
                <w:webHidden/>
              </w:rPr>
              <w:fldChar w:fldCharType="end"/>
            </w:r>
          </w:hyperlink>
        </w:p>
        <w:p w14:paraId="76F37036" w14:textId="77777777" w:rsidR="004C2060" w:rsidRPr="00FA1EAF" w:rsidRDefault="004C2060" w:rsidP="00042F73">
          <w:pPr>
            <w:jc w:val="center"/>
            <w:rPr>
              <w:rFonts w:asciiTheme="minorHAnsi" w:hAnsiTheme="minorHAnsi" w:cstheme="minorHAnsi"/>
              <w:bCs/>
              <w:noProof/>
            </w:rPr>
          </w:pPr>
          <w:r w:rsidRPr="00FD736E">
            <w:rPr>
              <w:rFonts w:asciiTheme="minorHAnsi" w:hAnsiTheme="minorHAnsi" w:cstheme="minorHAnsi"/>
              <w:bCs/>
              <w:noProof/>
            </w:rPr>
            <w:fldChar w:fldCharType="end"/>
          </w:r>
        </w:p>
      </w:sdtContent>
    </w:sdt>
    <w:p w14:paraId="7424B41C" w14:textId="77777777" w:rsidR="00235BA2" w:rsidRPr="00FA1EAF" w:rsidRDefault="00235BA2" w:rsidP="004C2060">
      <w:pPr>
        <w:rPr>
          <w:rFonts w:asciiTheme="minorHAnsi" w:hAnsiTheme="minorHAnsi" w:cstheme="minorHAnsi"/>
        </w:rPr>
      </w:pPr>
      <w:r w:rsidRPr="00FA1EAF">
        <w:rPr>
          <w:rFonts w:asciiTheme="minorHAnsi" w:hAnsiTheme="minorHAnsi" w:cstheme="minorHAnsi"/>
          <w:color w:val="FF0000"/>
          <w:sz w:val="36"/>
          <w:szCs w:val="36"/>
          <w:highlight w:val="yellow"/>
          <w:lang w:eastAsia="en-US"/>
        </w:rPr>
        <w:br w:type="page"/>
      </w:r>
    </w:p>
    <w:p w14:paraId="3F1E96F9" w14:textId="77777777" w:rsidR="00235BA2" w:rsidRPr="00F01AE3" w:rsidRDefault="00235BA2" w:rsidP="007254CF">
      <w:pPr>
        <w:pStyle w:val="Style1"/>
        <w:rPr>
          <w:b/>
          <w:sz w:val="22"/>
          <w:szCs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663135"/>
      <w:r w:rsidRPr="00F01AE3">
        <w:rPr>
          <w:b/>
          <w:sz w:val="22"/>
          <w:szCs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14:paraId="1392B197" w14:textId="77777777" w:rsidR="00C96D47" w:rsidRPr="00F01AE3" w:rsidRDefault="00C96D47" w:rsidP="00235BA2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O objetivo deste procedimento é detalhar e padronizar as atividades, entradas, saídas e interfaces do </w:t>
      </w:r>
      <w:proofErr w:type="spellStart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subprocesso</w:t>
      </w:r>
      <w:proofErr w:type="spellEnd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de Equalização de Gastos e Volumes (EGV) decorrentes da aprovação dos Acordos de Individualização da Produção (</w:t>
      </w:r>
      <w:proofErr w:type="spellStart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) com a participação da </w:t>
      </w:r>
      <w:r w:rsidR="00A0745E"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, para que o processo seja executado pelas áreas técnicas e de gestão de contratos seguindo as métricas estabelecidas nos acordos. O EGV faz parte do processo de Gestão de Acordos de Individualização da Produção.</w:t>
      </w:r>
    </w:p>
    <w:p w14:paraId="7DB3AD3E" w14:textId="77777777" w:rsidR="00235BA2" w:rsidRPr="00F01AE3" w:rsidRDefault="00235BA2" w:rsidP="007254CF">
      <w:pPr>
        <w:pStyle w:val="Style1"/>
        <w:rPr>
          <w:b/>
          <w:sz w:val="22"/>
          <w:szCs w:val="22"/>
        </w:rPr>
      </w:pPr>
      <w:bookmarkStart w:id="5" w:name="_Toc492663136"/>
      <w:r w:rsidRPr="00F01AE3">
        <w:rPr>
          <w:b/>
          <w:sz w:val="22"/>
          <w:szCs w:val="22"/>
        </w:rPr>
        <w:t xml:space="preserve">Aplicação e </w:t>
      </w:r>
      <w:r w:rsidR="004C2060" w:rsidRPr="00F01AE3">
        <w:rPr>
          <w:b/>
          <w:sz w:val="22"/>
          <w:szCs w:val="22"/>
        </w:rPr>
        <w:t>Abrangência</w:t>
      </w:r>
      <w:bookmarkEnd w:id="5"/>
    </w:p>
    <w:p w14:paraId="710A16FC" w14:textId="34C05E89" w:rsidR="00C96D47" w:rsidRPr="00F01AE3" w:rsidRDefault="00C96D47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Este procedimento se aplica ao Processo de Equalização de Gastos e Volumes, que tem como gatilho a submissão dos </w:t>
      </w:r>
      <w:proofErr w:type="spellStart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à ANP e visa cumprir a obrigação legal e contratual da </w:t>
      </w:r>
      <w:r w:rsidR="00A0745E"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prevista nas leis, decretos e </w:t>
      </w:r>
      <w:proofErr w:type="spellStart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. O sistema de suporte a esse processo será o </w:t>
      </w:r>
      <w:r w:rsidR="00F01AE3">
        <w:rPr>
          <w:rFonts w:asciiTheme="minorHAnsi" w:hAnsiTheme="minorHAnsi" w:cstheme="minorHAnsi"/>
          <w:bCs w:val="0"/>
          <w:i w:val="0"/>
          <w:iCs w:val="0"/>
          <w:szCs w:val="22"/>
        </w:rPr>
        <w:t>Sistema de Gestão de Gastos de Partilha de Produção</w:t>
      </w: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(</w:t>
      </w:r>
      <w:r w:rsidR="00A0745E"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14:paraId="2B20BE4E" w14:textId="77777777" w:rsidR="0027071E" w:rsidRPr="00F01AE3" w:rsidRDefault="0027071E" w:rsidP="007254CF">
      <w:pPr>
        <w:pStyle w:val="Style1"/>
        <w:rPr>
          <w:b/>
          <w:sz w:val="22"/>
          <w:szCs w:val="22"/>
        </w:rPr>
      </w:pPr>
      <w:bookmarkStart w:id="6" w:name="_Toc492663137"/>
      <w:r w:rsidRPr="00F01AE3">
        <w:rPr>
          <w:b/>
          <w:sz w:val="22"/>
          <w:szCs w:val="22"/>
        </w:rPr>
        <w:t>Documentos de Referência e Complementares</w:t>
      </w:r>
      <w:bookmarkEnd w:id="6"/>
    </w:p>
    <w:p w14:paraId="22317A73" w14:textId="77777777" w:rsidR="00272007" w:rsidRPr="00F01AE3" w:rsidRDefault="00272007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Modelo de Governança </w:t>
      </w:r>
      <w:r w:rsidR="00A0745E"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</w:p>
    <w:p w14:paraId="5F334586" w14:textId="77777777" w:rsidR="00272007" w:rsidRPr="00F01AE3" w:rsidRDefault="00272007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Sugestão de Modelo de Governança proposto pela KPMG</w:t>
      </w:r>
    </w:p>
    <w:p w14:paraId="5B4D4820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Política dos Acordos de Individualização da Produção do Óleo e do Gás Natural da União (Resolução CNPE)</w:t>
      </w:r>
    </w:p>
    <w:p w14:paraId="3ED4D016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Acordos de Individualização da Produção (assinados) e seus Anexos</w:t>
      </w:r>
    </w:p>
    <w:p w14:paraId="053FBB61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Decreto nº 2.705/1998</w:t>
      </w:r>
    </w:p>
    <w:p w14:paraId="7904347A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9.478/1997</w:t>
      </w:r>
    </w:p>
    <w:p w14:paraId="315E2E06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12.351/2010</w:t>
      </w:r>
    </w:p>
    <w:p w14:paraId="05185FD8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12.276/2010</w:t>
      </w:r>
    </w:p>
    <w:p w14:paraId="132195C6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12.304/2010</w:t>
      </w:r>
    </w:p>
    <w:p w14:paraId="0A7B782B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RD ANP - 651/2013</w:t>
      </w:r>
    </w:p>
    <w:p w14:paraId="3DBDB5AE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Resolução ANP nº 25 - DOU 9.7.2013</w:t>
      </w:r>
    </w:p>
    <w:p w14:paraId="31EFA68F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Decreto nº 8.063/2013</w:t>
      </w:r>
    </w:p>
    <w:p w14:paraId="51D58754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12.858/2013</w:t>
      </w:r>
    </w:p>
    <w:p w14:paraId="07B57105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13.303/2016</w:t>
      </w:r>
    </w:p>
    <w:p w14:paraId="56BD7594" w14:textId="77777777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Lei nº 13.365/ 2016</w:t>
      </w:r>
    </w:p>
    <w:p w14:paraId="136B5AE7" w14:textId="3D548169" w:rsidR="00FA1EAF" w:rsidRPr="00F01AE3" w:rsidRDefault="00FA1EAF" w:rsidP="00FA1EAF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Decreto nº 8.945/2016</w:t>
      </w:r>
    </w:p>
    <w:p w14:paraId="4CFF04EA" w14:textId="09C573FD" w:rsidR="0027071E" w:rsidRPr="00F01AE3" w:rsidRDefault="0027071E" w:rsidP="007254CF">
      <w:pPr>
        <w:pStyle w:val="Style1"/>
        <w:rPr>
          <w:b/>
          <w:sz w:val="22"/>
          <w:szCs w:val="22"/>
        </w:rPr>
      </w:pPr>
      <w:bookmarkStart w:id="7" w:name="_Toc492663138"/>
      <w:r w:rsidRPr="00F01AE3">
        <w:rPr>
          <w:b/>
          <w:sz w:val="22"/>
          <w:szCs w:val="22"/>
        </w:rPr>
        <w:lastRenderedPageBreak/>
        <w:t>Definições</w:t>
      </w:r>
      <w:bookmarkEnd w:id="7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F01AE3" w14:paraId="52DDAFDF" w14:textId="77777777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14:paraId="6E6C59AD" w14:textId="77777777" w:rsidR="0027071E" w:rsidRPr="00F01AE3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14:paraId="4DB9256D" w14:textId="77777777" w:rsidR="0027071E" w:rsidRPr="00F01AE3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Descrição</w:t>
            </w:r>
          </w:p>
        </w:tc>
      </w:tr>
      <w:tr w:rsidR="00C96D47" w:rsidRPr="00F01AE3" w14:paraId="3D91678F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1DB0DFB8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AIP</w:t>
            </w:r>
          </w:p>
        </w:tc>
        <w:tc>
          <w:tcPr>
            <w:tcW w:w="7921" w:type="dxa"/>
            <w:vAlign w:val="center"/>
          </w:tcPr>
          <w:p w14:paraId="25836A4A" w14:textId="77777777" w:rsidR="00C96D47" w:rsidRPr="00F01AE3" w:rsidRDefault="00591413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Acordo</w:t>
            </w:r>
            <w:r w:rsidR="00C96D47"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Individualização da Produção</w:t>
            </w:r>
          </w:p>
        </w:tc>
      </w:tr>
      <w:tr w:rsidR="00C96D47" w:rsidRPr="00F01AE3" w14:paraId="7AB552FF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0E3EA827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proofErr w:type="spellStart"/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AnC</w:t>
            </w:r>
            <w:proofErr w:type="spellEnd"/>
          </w:p>
        </w:tc>
        <w:tc>
          <w:tcPr>
            <w:tcW w:w="7921" w:type="dxa"/>
            <w:vAlign w:val="center"/>
          </w:tcPr>
          <w:p w14:paraId="14C5936C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Área não Contratada</w:t>
            </w:r>
          </w:p>
        </w:tc>
      </w:tr>
      <w:tr w:rsidR="00C96D47" w:rsidRPr="00F01AE3" w14:paraId="3F4C750A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193E0CC1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ANP</w:t>
            </w:r>
          </w:p>
        </w:tc>
        <w:tc>
          <w:tcPr>
            <w:tcW w:w="7921" w:type="dxa"/>
            <w:vAlign w:val="center"/>
          </w:tcPr>
          <w:p w14:paraId="7C7C155C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Agência Nacional do Petróleo, Gás Natural e Biocombustíveis</w:t>
            </w:r>
          </w:p>
        </w:tc>
      </w:tr>
      <w:tr w:rsidR="00C96D47" w:rsidRPr="00F01AE3" w14:paraId="4ED4B0D7" w14:textId="77777777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14:paraId="7332DBF8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CNPE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14:paraId="012DA30C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Conselho Nacional de Política Energética</w:t>
            </w:r>
          </w:p>
        </w:tc>
      </w:tr>
      <w:tr w:rsidR="00C96D47" w:rsidRPr="00F01AE3" w14:paraId="436CB9C6" w14:textId="77777777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14:paraId="50910BC3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DGC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14:paraId="677D0D1B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Diretoria de Gestão dos Contratos</w:t>
            </w:r>
          </w:p>
        </w:tc>
      </w:tr>
      <w:tr w:rsidR="00C96D47" w:rsidRPr="00F01AE3" w14:paraId="37F96E3F" w14:textId="77777777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14:paraId="3D1FA929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EGV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14:paraId="02A967A2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Equalização de Gastos e Volumes</w:t>
            </w:r>
          </w:p>
        </w:tc>
      </w:tr>
      <w:tr w:rsidR="00C96D47" w:rsidRPr="00F01AE3" w14:paraId="455D96BE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770729CC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G&amp;G</w:t>
            </w:r>
          </w:p>
        </w:tc>
        <w:tc>
          <w:tcPr>
            <w:tcW w:w="7921" w:type="dxa"/>
            <w:vAlign w:val="center"/>
          </w:tcPr>
          <w:p w14:paraId="68DB6FD1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Geologia e Geofísica</w:t>
            </w:r>
          </w:p>
        </w:tc>
      </w:tr>
      <w:tr w:rsidR="00C96D47" w:rsidRPr="00F01AE3" w14:paraId="06FA1651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326CCD7E" w14:textId="77777777" w:rsidR="00C96D47" w:rsidRPr="00F01AE3" w:rsidRDefault="00591413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GC</w:t>
            </w:r>
            <w:r w:rsidR="00C96D47"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7921" w:type="dxa"/>
            <w:vAlign w:val="center"/>
          </w:tcPr>
          <w:p w14:paraId="131425C8" w14:textId="77777777" w:rsidR="00C96D47" w:rsidRPr="00F01AE3" w:rsidRDefault="00C96D47" w:rsidP="00591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Gerência de Controle</w:t>
            </w:r>
            <w:r w:rsidR="00591413"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 Finanças</w:t>
            </w:r>
          </w:p>
        </w:tc>
      </w:tr>
      <w:tr w:rsidR="00C96D47" w:rsidRPr="00F01AE3" w14:paraId="4EB7DAD0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4336DECB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GE </w:t>
            </w:r>
          </w:p>
        </w:tc>
        <w:tc>
          <w:tcPr>
            <w:tcW w:w="7921" w:type="dxa"/>
            <w:vAlign w:val="center"/>
          </w:tcPr>
          <w:p w14:paraId="2B0DE285" w14:textId="77777777" w:rsidR="00C96D47" w:rsidRPr="00F01AE3" w:rsidRDefault="00591413" w:rsidP="005914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Gerência Executiva</w:t>
            </w:r>
          </w:p>
        </w:tc>
      </w:tr>
      <w:tr w:rsidR="00C96D47" w:rsidRPr="00F01AE3" w14:paraId="0C353297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7E5236E0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NT</w:t>
            </w:r>
          </w:p>
        </w:tc>
        <w:tc>
          <w:tcPr>
            <w:tcW w:w="7921" w:type="dxa"/>
            <w:vAlign w:val="center"/>
          </w:tcPr>
          <w:p w14:paraId="33101CFF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Nota Técnica</w:t>
            </w:r>
          </w:p>
        </w:tc>
      </w:tr>
      <w:tr w:rsidR="00C96D47" w:rsidRPr="00F01AE3" w14:paraId="07AB5F4C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6FE27710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</w:t>
            </w:r>
          </w:p>
        </w:tc>
        <w:tc>
          <w:tcPr>
            <w:tcW w:w="7921" w:type="dxa"/>
            <w:vAlign w:val="center"/>
          </w:tcPr>
          <w:p w14:paraId="5DFE8118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Participação Especial</w:t>
            </w:r>
          </w:p>
        </w:tc>
      </w:tr>
      <w:tr w:rsidR="00C96D47" w:rsidRPr="00F01AE3" w14:paraId="4E244BF9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54739776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PEM</w:t>
            </w:r>
          </w:p>
        </w:tc>
        <w:tc>
          <w:tcPr>
            <w:tcW w:w="7921" w:type="dxa"/>
            <w:vAlign w:val="center"/>
          </w:tcPr>
          <w:p w14:paraId="71867430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Programa Exploratório Mínimo</w:t>
            </w:r>
          </w:p>
        </w:tc>
      </w:tr>
      <w:tr w:rsidR="00C96D47" w:rsidRPr="00F01AE3" w14:paraId="390F716E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61837715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PRD</w:t>
            </w:r>
          </w:p>
        </w:tc>
        <w:tc>
          <w:tcPr>
            <w:tcW w:w="7921" w:type="dxa"/>
            <w:vAlign w:val="center"/>
          </w:tcPr>
          <w:p w14:paraId="0B7C427D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Proposta de Resolução da Diretoria</w:t>
            </w:r>
          </w:p>
        </w:tc>
      </w:tr>
      <w:tr w:rsidR="00C96D47" w:rsidRPr="00F01AE3" w14:paraId="0C805727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207F4F65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</w:t>
            </w:r>
          </w:p>
        </w:tc>
        <w:tc>
          <w:tcPr>
            <w:tcW w:w="7921" w:type="dxa"/>
            <w:vAlign w:val="center"/>
          </w:tcPr>
          <w:p w14:paraId="4F15A5A4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Engenharia de Reservatórios</w:t>
            </w:r>
          </w:p>
        </w:tc>
      </w:tr>
      <w:tr w:rsidR="00C96D47" w:rsidRPr="00F01AE3" w14:paraId="74B94805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329C2D17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SCP</w:t>
            </w:r>
          </w:p>
        </w:tc>
        <w:tc>
          <w:tcPr>
            <w:tcW w:w="7921" w:type="dxa"/>
            <w:vAlign w:val="center"/>
          </w:tcPr>
          <w:p w14:paraId="2C7A8E7E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da Comercialização do Petróleo</w:t>
            </w:r>
          </w:p>
        </w:tc>
      </w:tr>
      <w:tr w:rsidR="00C96D47" w:rsidRPr="00F01AE3" w14:paraId="5FD32174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030CD644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SDP</w:t>
            </w:r>
          </w:p>
        </w:tc>
        <w:tc>
          <w:tcPr>
            <w:tcW w:w="7921" w:type="dxa"/>
            <w:vAlign w:val="center"/>
          </w:tcPr>
          <w:p w14:paraId="1E84984A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de Desenvolvimento e Produção</w:t>
            </w:r>
          </w:p>
        </w:tc>
      </w:tr>
      <w:tr w:rsidR="00C96D47" w:rsidRPr="00F01AE3" w14:paraId="681F27FA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41B7566D" w14:textId="77777777" w:rsidR="00C96D47" w:rsidRPr="00F01AE3" w:rsidRDefault="00A0745E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SGPP</w:t>
            </w:r>
          </w:p>
        </w:tc>
        <w:tc>
          <w:tcPr>
            <w:tcW w:w="7921" w:type="dxa"/>
            <w:vAlign w:val="center"/>
          </w:tcPr>
          <w:p w14:paraId="317B7408" w14:textId="7AB03925" w:rsidR="00C96D47" w:rsidRPr="00F01AE3" w:rsidRDefault="00F01AE3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de Gestão de Gastos de Partilha de Produção</w:t>
            </w:r>
          </w:p>
        </w:tc>
      </w:tr>
      <w:tr w:rsidR="00C96D47" w:rsidRPr="00F01AE3" w14:paraId="5C6ABF9B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0E4D9031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SRE</w:t>
            </w:r>
          </w:p>
        </w:tc>
        <w:tc>
          <w:tcPr>
            <w:tcW w:w="7921" w:type="dxa"/>
            <w:vAlign w:val="center"/>
          </w:tcPr>
          <w:p w14:paraId="50A170A1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de Reservatórios</w:t>
            </w:r>
          </w:p>
        </w:tc>
      </w:tr>
      <w:tr w:rsidR="00C96D47" w:rsidRPr="00F01AE3" w14:paraId="753928D3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06458576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SS</w:t>
            </w:r>
          </w:p>
        </w:tc>
        <w:tc>
          <w:tcPr>
            <w:tcW w:w="7921" w:type="dxa"/>
            <w:vAlign w:val="center"/>
          </w:tcPr>
          <w:p w14:paraId="341DC5C7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Sistemas Submarinos</w:t>
            </w:r>
          </w:p>
        </w:tc>
      </w:tr>
      <w:tr w:rsidR="00C96D47" w:rsidRPr="00F01AE3" w14:paraId="554DF62F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2CE01612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SUE</w:t>
            </w:r>
          </w:p>
        </w:tc>
        <w:tc>
          <w:tcPr>
            <w:tcW w:w="7921" w:type="dxa"/>
            <w:vAlign w:val="center"/>
          </w:tcPr>
          <w:p w14:paraId="2BBB8E47" w14:textId="77777777" w:rsidR="00C96D47" w:rsidRPr="00F01AE3" w:rsidRDefault="00C96D47" w:rsidP="00C96D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de Exploração</w:t>
            </w:r>
          </w:p>
        </w:tc>
      </w:tr>
      <w:tr w:rsidR="00C96D47" w:rsidRPr="00F01AE3" w14:paraId="36690E14" w14:textId="77777777" w:rsidTr="00037F05">
        <w:trPr>
          <w:trHeight w:val="57"/>
        </w:trPr>
        <w:tc>
          <w:tcPr>
            <w:tcW w:w="1444" w:type="dxa"/>
            <w:vAlign w:val="center"/>
          </w:tcPr>
          <w:p w14:paraId="2AEA525A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UEP</w:t>
            </w:r>
          </w:p>
        </w:tc>
        <w:tc>
          <w:tcPr>
            <w:tcW w:w="7921" w:type="dxa"/>
            <w:vAlign w:val="center"/>
          </w:tcPr>
          <w:p w14:paraId="7A660209" w14:textId="77777777" w:rsidR="00C96D47" w:rsidRPr="00F01AE3" w:rsidRDefault="00C96D47" w:rsidP="00C96D4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 w:rsidRPr="00F01A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Unidade Estacionária de Produção</w:t>
            </w:r>
          </w:p>
        </w:tc>
      </w:tr>
    </w:tbl>
    <w:p w14:paraId="774DE403" w14:textId="77777777" w:rsidR="00272007" w:rsidRPr="00F01AE3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AIP: Acordo de Individualização da Produção, procedimento que visa à divisão do resultado da produção e ao aproveitamento racional dos recursos naturais da União, por meio da unificação do desenvolvimento e da produção relativos à jazida que se estenda além do bloco concedido ou contratado sob o regime de partilha de produção.</w:t>
      </w:r>
    </w:p>
    <w:p w14:paraId="023143A0" w14:textId="77777777" w:rsidR="00C96D47" w:rsidRPr="00F01AE3" w:rsidRDefault="00C96D47" w:rsidP="00C96D4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Partes: Empresas participantes em um consórcio ou em um AIP.</w:t>
      </w:r>
    </w:p>
    <w:p w14:paraId="36FC0068" w14:textId="77777777" w:rsidR="00C96D47" w:rsidRPr="00F01AE3" w:rsidRDefault="00C96D47" w:rsidP="00C96D4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Royalties = Alíquota x Valor da Produção </w:t>
      </w:r>
    </w:p>
    <w:p w14:paraId="7CA860DC" w14:textId="77777777" w:rsidR="00C96D47" w:rsidRPr="00F01AE3" w:rsidRDefault="00C96D47" w:rsidP="00C96D47">
      <w:pPr>
        <w:pStyle w:val="Body"/>
        <w:spacing w:line="360" w:lineRule="auto"/>
        <w:ind w:left="1070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Valor da produção = Vol. Óleo (m³) x Preço referência Óleo (R$/m³) + Vol. Gás Natural (m³) x Preço referência Gás Natural (R$/m³)</w:t>
      </w:r>
    </w:p>
    <w:p w14:paraId="6298C8E9" w14:textId="77777777" w:rsidR="00C96D47" w:rsidRPr="00F01AE3" w:rsidRDefault="00C96D47" w:rsidP="00C96D4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PE - Participação Especial: compensação financeira extraordinária, ao qual os concessionários estão sujeitos ao pagamento, estabelecida pela Lei do Óleo para campos de grande volume de produção ou de grande rentabilidade, e ao pagamento pela ocupação ou retenção de área.</w:t>
      </w:r>
    </w:p>
    <w:p w14:paraId="1A608F8D" w14:textId="77777777" w:rsidR="00C96D47" w:rsidRPr="00F01AE3" w:rsidRDefault="00C96D47" w:rsidP="00C96D47">
      <w:pPr>
        <w:pStyle w:val="Body"/>
        <w:spacing w:line="360" w:lineRule="auto"/>
        <w:ind w:left="1070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Quando o volume de óleo em um campo é muito grande ou tem perspectivas de grande rentabilidade, cobra-se a participação especial ao invés de royalties. Ao invés de serem cobradas </w:t>
      </w:r>
      <w:r w:rsidRPr="00F01AE3">
        <w:rPr>
          <w:rFonts w:eastAsia="Times New Roman" w:cstheme="minorHAnsi"/>
          <w:lang w:eastAsia="pt-BR"/>
        </w:rPr>
        <w:lastRenderedPageBreak/>
        <w:t>sobre o valor da produção, como os royalties, as participações especiais são cobradas sobre o lucro líquido que a empresa petrolífera tem na produção trimestral em determinado campo.</w:t>
      </w:r>
    </w:p>
    <w:p w14:paraId="056FE633" w14:textId="27716634" w:rsidR="0000756A" w:rsidRPr="00F01AE3" w:rsidRDefault="00A0745E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SGPP</w:t>
      </w:r>
      <w:r w:rsidR="00272007" w:rsidRPr="00F01AE3">
        <w:rPr>
          <w:rFonts w:eastAsia="Times New Roman" w:cstheme="minorHAnsi"/>
          <w:lang w:eastAsia="pt-BR"/>
        </w:rPr>
        <w:t xml:space="preserve">: </w:t>
      </w:r>
      <w:r w:rsidR="00F01AE3">
        <w:rPr>
          <w:rFonts w:eastAsia="Times New Roman" w:cstheme="minorHAnsi"/>
          <w:lang w:eastAsia="pt-BR"/>
        </w:rPr>
        <w:t>Sistema de Gestão de Gastos de Partilha de Produção</w:t>
      </w:r>
      <w:r w:rsidR="00272007" w:rsidRPr="00F01AE3">
        <w:rPr>
          <w:rFonts w:eastAsia="Times New Roman" w:cstheme="minorHAnsi"/>
          <w:lang w:eastAsia="pt-BR"/>
        </w:rPr>
        <w:t xml:space="preserve"> planejado para atender ao gerenciamento dos contratos de partilha e de comercialização de petróleo e gás natural.</w:t>
      </w:r>
    </w:p>
    <w:p w14:paraId="30DEDB11" w14:textId="76FF66C8" w:rsidR="007254CF" w:rsidRPr="00F01AE3" w:rsidRDefault="00235BA2" w:rsidP="007254CF">
      <w:pPr>
        <w:pStyle w:val="Style1"/>
        <w:rPr>
          <w:b/>
          <w:sz w:val="22"/>
          <w:szCs w:val="22"/>
        </w:rPr>
      </w:pPr>
      <w:bookmarkStart w:id="8" w:name="_Toc492663139"/>
      <w:r w:rsidRPr="00F01AE3">
        <w:rPr>
          <w:b/>
          <w:sz w:val="22"/>
          <w:szCs w:val="22"/>
        </w:rPr>
        <w:t>A</w:t>
      </w:r>
      <w:r w:rsidR="0027071E" w:rsidRPr="00F01AE3">
        <w:rPr>
          <w:b/>
          <w:sz w:val="22"/>
          <w:szCs w:val="22"/>
        </w:rPr>
        <w:t>utoridade e Competência</w:t>
      </w:r>
      <w:r w:rsidR="00FA1EAF" w:rsidRPr="00F01AE3">
        <w:rPr>
          <w:b/>
          <w:sz w:val="22"/>
          <w:szCs w:val="22"/>
        </w:rPr>
        <w:t>s</w:t>
      </w:r>
      <w:bookmarkEnd w:id="8"/>
    </w:p>
    <w:p w14:paraId="7086D8EA" w14:textId="3EC0D843" w:rsidR="007254CF" w:rsidRPr="00F01AE3" w:rsidRDefault="0027071E" w:rsidP="00FA1EAF">
      <w:pPr>
        <w:pStyle w:val="Body"/>
        <w:numPr>
          <w:ilvl w:val="1"/>
          <w:numId w:val="2"/>
        </w:numPr>
        <w:rPr>
          <w:b/>
        </w:rPr>
      </w:pPr>
      <w:r w:rsidRPr="00F01AE3">
        <w:rPr>
          <w:b/>
        </w:rPr>
        <w:t>A</w:t>
      </w:r>
      <w:r w:rsidR="00235BA2" w:rsidRPr="00F01AE3">
        <w:rPr>
          <w:b/>
        </w:rPr>
        <w:t>provação e Atualização</w:t>
      </w:r>
    </w:p>
    <w:p w14:paraId="003C7CA0" w14:textId="77777777" w:rsidR="00C96D47" w:rsidRPr="00F01AE3" w:rsidRDefault="00C96D47" w:rsidP="00FA1EAF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A versão inicial e as revisões desse documento devem ser aprovadas conforme a Estrutura de Comitês de Governança prevista no Modelo de Governança dos Processos. As revisões no procedimento e no fluxograma do processo de Equalização de Gastos e Volumes deverão ser realizadas simultaneamente e de acordo com o Ciclo de Revisão dos Processos, visando incorporar melhorias e novos sistemas, atender às políticas, diretrizes e padrões da empresa, deliberações da Diretoria, além de leis, decretos e resoluções da ANP.</w:t>
      </w:r>
    </w:p>
    <w:p w14:paraId="2B85C418" w14:textId="242CAD40" w:rsidR="00235BA2" w:rsidRPr="00F01AE3" w:rsidRDefault="00235BA2" w:rsidP="00FA1EAF">
      <w:pPr>
        <w:pStyle w:val="Body"/>
        <w:numPr>
          <w:ilvl w:val="1"/>
          <w:numId w:val="2"/>
        </w:numPr>
        <w:rPr>
          <w:b/>
        </w:rPr>
      </w:pPr>
      <w:r w:rsidRPr="00F01AE3">
        <w:rPr>
          <w:b/>
        </w:rPr>
        <w:t>Responsáveis pela Execução</w:t>
      </w:r>
    </w:p>
    <w:p w14:paraId="45C08883" w14:textId="77777777" w:rsidR="00C96D47" w:rsidRPr="00F01AE3" w:rsidRDefault="00C96D47" w:rsidP="00FA1EAF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F01AE3">
        <w:rPr>
          <w:rFonts w:asciiTheme="minorHAnsi" w:hAnsiTheme="minorHAnsi" w:cstheme="minorHAnsi"/>
          <w:bCs w:val="0"/>
          <w:i w:val="0"/>
          <w:iCs w:val="0"/>
          <w:szCs w:val="22"/>
        </w:rPr>
        <w:t>Colaboradores nas áreas técnicas e administrativas indicados para analisar as informações recebidas, identificar não conformidades e propor ações corretivas, de acordo com as atribuições, papéis e responsabilidades dos processos referentes a esse procedimento, detalhados no Anexo II deste documento.</w:t>
      </w:r>
    </w:p>
    <w:p w14:paraId="0641EFDF" w14:textId="77777777" w:rsidR="0027071E" w:rsidRPr="00F01AE3" w:rsidRDefault="00235BA2" w:rsidP="007254CF">
      <w:pPr>
        <w:pStyle w:val="Style1"/>
        <w:rPr>
          <w:b/>
          <w:sz w:val="22"/>
          <w:szCs w:val="22"/>
        </w:rPr>
      </w:pPr>
      <w:bookmarkStart w:id="9" w:name="_Toc492663140"/>
      <w:r w:rsidRPr="00F01AE3">
        <w:rPr>
          <w:b/>
          <w:sz w:val="22"/>
          <w:szCs w:val="22"/>
        </w:rPr>
        <w:t>Descrição</w:t>
      </w:r>
      <w:bookmarkEnd w:id="9"/>
    </w:p>
    <w:p w14:paraId="2A9BEF2B" w14:textId="77777777" w:rsidR="00255FA8" w:rsidRPr="00F01AE3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0" w:name="_Toc492663141"/>
      <w:r w:rsidRPr="00F01AE3">
        <w:rPr>
          <w:b/>
          <w:sz w:val="22"/>
          <w:szCs w:val="22"/>
        </w:rPr>
        <w:t>Descrição Geral do Processo</w:t>
      </w:r>
      <w:bookmarkEnd w:id="10"/>
    </w:p>
    <w:p w14:paraId="3B32FE17" w14:textId="77777777" w:rsidR="007D2767" w:rsidRPr="00F01AE3" w:rsidRDefault="00037F05" w:rsidP="007D2767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ab/>
      </w:r>
      <w:r w:rsidR="007D2767" w:rsidRPr="00F01AE3">
        <w:rPr>
          <w:rFonts w:eastAsia="Times New Roman" w:cstheme="minorHAnsi"/>
          <w:lang w:eastAsia="pt-BR"/>
        </w:rPr>
        <w:t xml:space="preserve">O processo de Equalização de Gastos e Volumes compreende ações decorrentes dos </w:t>
      </w:r>
      <w:proofErr w:type="spellStart"/>
      <w:r w:rsidR="007D2767" w:rsidRPr="00F01AE3">
        <w:rPr>
          <w:rFonts w:eastAsia="Times New Roman" w:cstheme="minorHAnsi"/>
          <w:lang w:eastAsia="pt-BR"/>
        </w:rPr>
        <w:t>AIPs</w:t>
      </w:r>
      <w:proofErr w:type="spellEnd"/>
      <w:r w:rsidR="007D2767" w:rsidRPr="00F01AE3">
        <w:rPr>
          <w:rFonts w:eastAsia="Times New Roman" w:cstheme="minorHAnsi"/>
          <w:lang w:eastAsia="pt-BR"/>
        </w:rPr>
        <w:t xml:space="preserve"> aprovados, que são celebrados quando uma jazida de óleo ou gás natural se estende por dois ou mais blocos contíguos, cujos direitos e obrigações pertencem a concessionários distintos, fazendo-se necessário celebrar um acordo entre as Partes, após a Declaração de Comercialidade do campo. Nesse processo a </w:t>
      </w:r>
      <w:r w:rsidR="00A0745E" w:rsidRPr="00F01AE3">
        <w:rPr>
          <w:rFonts w:eastAsia="Times New Roman" w:cstheme="minorHAnsi"/>
          <w:lang w:eastAsia="pt-BR"/>
        </w:rPr>
        <w:t>Pré-Sal Petróleo</w:t>
      </w:r>
      <w:r w:rsidR="007D2767" w:rsidRPr="00F01AE3">
        <w:rPr>
          <w:rFonts w:eastAsia="Times New Roman" w:cstheme="minorHAnsi"/>
          <w:lang w:eastAsia="pt-BR"/>
        </w:rPr>
        <w:t xml:space="preserve"> representa a União quando a jazida se estende para áreas não contratadas dentro do polígono do Pré-sal e participa como um sócio não Operador com direito a carrego.</w:t>
      </w:r>
    </w:p>
    <w:p w14:paraId="1CDFEE2D" w14:textId="77777777" w:rsidR="00D91CEC" w:rsidRPr="00F01AE3" w:rsidRDefault="007D2767" w:rsidP="007D2767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ab/>
      </w:r>
    </w:p>
    <w:p w14:paraId="6808531A" w14:textId="77777777" w:rsidR="00D91CEC" w:rsidRPr="00F01AE3" w:rsidRDefault="00D91CEC">
      <w:pPr>
        <w:spacing w:after="160" w:line="259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01AE3">
        <w:rPr>
          <w:rFonts w:eastAsia="Times New Roman" w:cstheme="minorHAnsi"/>
          <w:sz w:val="22"/>
          <w:szCs w:val="22"/>
        </w:rPr>
        <w:br w:type="page"/>
      </w:r>
    </w:p>
    <w:p w14:paraId="0073AC50" w14:textId="55C0FF20" w:rsidR="007D2767" w:rsidRPr="00F01AE3" w:rsidRDefault="007D2767" w:rsidP="007D2767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lastRenderedPageBreak/>
        <w:t>O processo de Equalização de Gastos e Volumes contempla, de maneira geral, as seguintes etapas:</w:t>
      </w:r>
    </w:p>
    <w:p w14:paraId="70A637A0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Reunião inicial entre </w:t>
      </w:r>
      <w:r w:rsidR="00A0745E" w:rsidRPr="00F01AE3">
        <w:rPr>
          <w:rFonts w:eastAsia="Times New Roman" w:cstheme="minorHAnsi"/>
          <w:lang w:eastAsia="pt-BR"/>
        </w:rPr>
        <w:t>Pré-Sal Petróleo</w:t>
      </w:r>
      <w:r w:rsidRPr="00F01AE3">
        <w:rPr>
          <w:rFonts w:eastAsia="Times New Roman" w:cstheme="minorHAnsi"/>
          <w:lang w:eastAsia="pt-BR"/>
        </w:rPr>
        <w:t xml:space="preserve"> e Operador para solicitação da documentação necessária ao procedimento do EGV e alinhamento quanto ao índice de correção dos valores</w:t>
      </w:r>
    </w:p>
    <w:p w14:paraId="33B0E8AB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Análise sistêmica (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>) dos dados recebidos: custos, investimentos e produção</w:t>
      </w:r>
    </w:p>
    <w:p w14:paraId="24DAAA96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Solicitação de documentação para a ANP com o objetivo de confrontar com os dados recebidos do Operador</w:t>
      </w:r>
    </w:p>
    <w:p w14:paraId="73CEF463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Atualização sistêmica (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>) de índices financeiros de correção e câmbios</w:t>
      </w:r>
    </w:p>
    <w:p w14:paraId="65826722" w14:textId="02082DAF" w:rsidR="007D2767" w:rsidRPr="00F01AE3" w:rsidRDefault="007D2767" w:rsidP="004A30FD">
      <w:pPr>
        <w:pStyle w:val="Body"/>
        <w:spacing w:line="360" w:lineRule="auto"/>
        <w:ind w:left="792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Análise técnica (</w:t>
      </w:r>
      <w:r w:rsidR="003C4544" w:rsidRPr="00F01AE3">
        <w:rPr>
          <w:rFonts w:eastAsia="Times New Roman" w:cstheme="minorHAnsi"/>
          <w:lang w:eastAsia="pt-BR"/>
        </w:rPr>
        <w:t xml:space="preserve">GCF, </w:t>
      </w:r>
      <w:r w:rsidRPr="00F01AE3">
        <w:rPr>
          <w:rFonts w:eastAsia="Times New Roman" w:cstheme="minorHAnsi"/>
          <w:lang w:eastAsia="pt-BR"/>
        </w:rPr>
        <w:t>SCP, SDP, SRE e SUE), quando necessário</w:t>
      </w:r>
    </w:p>
    <w:p w14:paraId="56BB7637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Redistribuição de royalties, impostos e saldos preliminares</w:t>
      </w:r>
    </w:p>
    <w:p w14:paraId="70B30746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Atualização e análise do saldo da União</w:t>
      </w:r>
    </w:p>
    <w:p w14:paraId="1F2B0CD5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Solicitação de auditoria externa</w:t>
      </w:r>
    </w:p>
    <w:p w14:paraId="5197F95B" w14:textId="77777777" w:rsidR="007D2767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Ratificação do EGV e envio à DGC</w:t>
      </w:r>
    </w:p>
    <w:p w14:paraId="4E45F7D1" w14:textId="77777777" w:rsidR="00037F05" w:rsidRPr="00F01AE3" w:rsidRDefault="007D2767" w:rsidP="007D2767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Preparação do Proposta de Resolução da Diretoria (PRD)</w:t>
      </w:r>
    </w:p>
    <w:p w14:paraId="6D40EC02" w14:textId="77777777" w:rsidR="00235BA2" w:rsidRPr="00F01AE3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1" w:name="_Toc492663142"/>
      <w:r w:rsidRPr="00F01AE3">
        <w:rPr>
          <w:b/>
          <w:sz w:val="22"/>
          <w:szCs w:val="22"/>
        </w:rPr>
        <w:t xml:space="preserve">Validações e Cálculos do </w:t>
      </w:r>
      <w:r w:rsidR="00A0745E" w:rsidRPr="00F01AE3">
        <w:rPr>
          <w:b/>
          <w:sz w:val="22"/>
          <w:szCs w:val="22"/>
        </w:rPr>
        <w:t>SGPP</w:t>
      </w:r>
      <w:bookmarkEnd w:id="11"/>
    </w:p>
    <w:p w14:paraId="6EAAF5D2" w14:textId="77777777" w:rsidR="007D2767" w:rsidRPr="00F01AE3" w:rsidRDefault="007D2767" w:rsidP="007D2767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No processo de Equalização de Gastos e Volumes (EGV), a GE de </w:t>
      </w:r>
      <w:proofErr w:type="spellStart"/>
      <w:r w:rsidRPr="00F01AE3">
        <w:rPr>
          <w:rFonts w:eastAsia="Times New Roman" w:cstheme="minorHAnsi"/>
          <w:lang w:eastAsia="pt-BR"/>
        </w:rPr>
        <w:t>AIPs</w:t>
      </w:r>
      <w:proofErr w:type="spellEnd"/>
      <w:r w:rsidRPr="00F01AE3">
        <w:rPr>
          <w:rFonts w:eastAsia="Times New Roman" w:cstheme="minorHAnsi"/>
          <w:lang w:eastAsia="pt-BR"/>
        </w:rPr>
        <w:t xml:space="preserve"> recebe pelo 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 xml:space="preserve"> o AIP aprovado, via processo de Gestão de Acordos de Individualização da Produção. Após o alinhamento entre Operador e </w:t>
      </w:r>
      <w:r w:rsidR="00A0745E" w:rsidRPr="00F01AE3">
        <w:rPr>
          <w:rFonts w:eastAsia="Times New Roman" w:cstheme="minorHAnsi"/>
          <w:lang w:eastAsia="pt-BR"/>
        </w:rPr>
        <w:t>Pré-Sal Petróleo</w:t>
      </w:r>
      <w:r w:rsidRPr="00F01AE3">
        <w:rPr>
          <w:rFonts w:eastAsia="Times New Roman" w:cstheme="minorHAnsi"/>
          <w:lang w:eastAsia="pt-BR"/>
        </w:rPr>
        <w:t xml:space="preserve">, o Operador envia à </w:t>
      </w:r>
      <w:r w:rsidR="00A0745E" w:rsidRPr="00F01AE3">
        <w:rPr>
          <w:rFonts w:eastAsia="Times New Roman" w:cstheme="minorHAnsi"/>
          <w:lang w:eastAsia="pt-BR"/>
        </w:rPr>
        <w:t>Pré-Sal Petróleo</w:t>
      </w:r>
      <w:r w:rsidRPr="00F01AE3">
        <w:rPr>
          <w:rFonts w:eastAsia="Times New Roman" w:cstheme="minorHAnsi"/>
          <w:lang w:eastAsia="pt-BR"/>
        </w:rPr>
        <w:t xml:space="preserve"> os dados e documentos necessários, via sistema. Nesse momento o 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 xml:space="preserve"> deve ser capaz de avaliar os dados e verificar a consistência das informações. </w:t>
      </w:r>
    </w:p>
    <w:p w14:paraId="2FA5651D" w14:textId="6FB4FE76" w:rsidR="007D2767" w:rsidRPr="00F01AE3" w:rsidRDefault="007D2767" w:rsidP="007D2767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De posse dos dados consistentes, a GE de </w:t>
      </w:r>
      <w:proofErr w:type="spellStart"/>
      <w:r w:rsidRPr="00F01AE3">
        <w:rPr>
          <w:rFonts w:eastAsia="Times New Roman" w:cstheme="minorHAnsi"/>
          <w:lang w:eastAsia="pt-BR"/>
        </w:rPr>
        <w:t>AIPs</w:t>
      </w:r>
      <w:proofErr w:type="spellEnd"/>
      <w:r w:rsidRPr="00F01AE3">
        <w:rPr>
          <w:rFonts w:eastAsia="Times New Roman" w:cstheme="minorHAnsi"/>
          <w:lang w:eastAsia="pt-BR"/>
        </w:rPr>
        <w:t xml:space="preserve"> em conjunto com a GCF atualiza no sistema os índices financeiros de correção dos gastos e receitas, quando cabível. </w:t>
      </w:r>
    </w:p>
    <w:p w14:paraId="7724CBB2" w14:textId="77777777" w:rsidR="007D2767" w:rsidRPr="00F01AE3" w:rsidRDefault="007D2767" w:rsidP="007D2767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A fase de análise técnica se inicia no sistema e as áreas técnicas inserem os dados que julgarem pertinentes referentes às análises realizadas. Com esse insumo, o 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 xml:space="preserve"> será capaz recalcular os gastos e volumes informados, e de redistribuir os royalties, PE, impostos e saldos preliminares entre as Partes. </w:t>
      </w:r>
    </w:p>
    <w:p w14:paraId="59A7546A" w14:textId="58B11238" w:rsidR="00037F05" w:rsidRPr="00CD2415" w:rsidRDefault="007D2767" w:rsidP="007D2767">
      <w:pPr>
        <w:pStyle w:val="Body"/>
        <w:spacing w:line="360" w:lineRule="auto"/>
        <w:ind w:left="658" w:firstLine="360"/>
        <w:rPr>
          <w:rFonts w:eastAsia="Times New Roman" w:cstheme="minorHAnsi"/>
          <w:sz w:val="24"/>
          <w:szCs w:val="24"/>
          <w:lang w:eastAsia="pt-BR"/>
        </w:rPr>
      </w:pPr>
      <w:r w:rsidRPr="00F01AE3">
        <w:rPr>
          <w:rFonts w:eastAsia="Times New Roman" w:cstheme="minorHAnsi"/>
          <w:lang w:eastAsia="pt-BR"/>
        </w:rPr>
        <w:t xml:space="preserve">A GCF elabora Nota Técnica com a consolidação das análises e libera via 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 xml:space="preserve"> para a GE de </w:t>
      </w:r>
      <w:proofErr w:type="spellStart"/>
      <w:r w:rsidRPr="00F01AE3">
        <w:rPr>
          <w:rFonts w:eastAsia="Times New Roman" w:cstheme="minorHAnsi"/>
          <w:lang w:eastAsia="pt-BR"/>
        </w:rPr>
        <w:t>AIPs</w:t>
      </w:r>
      <w:proofErr w:type="spellEnd"/>
      <w:r w:rsidRPr="00F01AE3">
        <w:rPr>
          <w:rFonts w:eastAsia="Times New Roman" w:cstheme="minorHAnsi"/>
          <w:lang w:eastAsia="pt-BR"/>
        </w:rPr>
        <w:t xml:space="preserve">. Em seguida atualiza e analisa o saldo, finalizando o EGV. Caso o processo termine com a indicação de necessidade de auditoria, a GE de </w:t>
      </w:r>
      <w:proofErr w:type="spellStart"/>
      <w:r w:rsidRPr="00F01AE3">
        <w:rPr>
          <w:rFonts w:eastAsia="Times New Roman" w:cstheme="minorHAnsi"/>
          <w:lang w:eastAsia="pt-BR"/>
        </w:rPr>
        <w:t>AIPs</w:t>
      </w:r>
      <w:proofErr w:type="spellEnd"/>
      <w:r w:rsidRPr="00F01AE3">
        <w:rPr>
          <w:rFonts w:eastAsia="Times New Roman" w:cstheme="minorHAnsi"/>
          <w:lang w:eastAsia="pt-BR"/>
        </w:rPr>
        <w:t xml:space="preserve"> solicita, pelo </w:t>
      </w:r>
      <w:r w:rsidR="00A0745E" w:rsidRPr="00F01AE3">
        <w:rPr>
          <w:rFonts w:eastAsia="Times New Roman" w:cstheme="minorHAnsi"/>
          <w:lang w:eastAsia="pt-BR"/>
        </w:rPr>
        <w:t>SGPP</w:t>
      </w:r>
      <w:r w:rsidRPr="00F01AE3">
        <w:rPr>
          <w:rFonts w:eastAsia="Times New Roman" w:cstheme="minorHAnsi"/>
          <w:lang w:eastAsia="pt-BR"/>
        </w:rPr>
        <w:t xml:space="preserve">, ao GCF que proceda com o processo de </w:t>
      </w:r>
      <w:r w:rsidRPr="00F01AE3">
        <w:rPr>
          <w:rFonts w:eastAsia="Times New Roman" w:cstheme="minorHAnsi"/>
          <w:lang w:eastAsia="pt-BR"/>
        </w:rPr>
        <w:lastRenderedPageBreak/>
        <w:t xml:space="preserve">auditoria externa. A área de Fiscalização, por sua vez, libera o EGV auditado para a GE de </w:t>
      </w:r>
      <w:proofErr w:type="spellStart"/>
      <w:r w:rsidRPr="00F01AE3">
        <w:rPr>
          <w:rFonts w:eastAsia="Times New Roman" w:cstheme="minorHAnsi"/>
          <w:lang w:eastAsia="pt-BR"/>
        </w:rPr>
        <w:t>AIPs</w:t>
      </w:r>
      <w:proofErr w:type="spellEnd"/>
      <w:r w:rsidRPr="00F01AE3">
        <w:rPr>
          <w:rFonts w:eastAsia="Times New Roman" w:cstheme="minorHAnsi"/>
          <w:lang w:eastAsia="pt-BR"/>
        </w:rPr>
        <w:t xml:space="preserve"> que ratifica o EGV e envia à DGC.</w:t>
      </w:r>
    </w:p>
    <w:p w14:paraId="035E3DF4" w14:textId="77777777" w:rsidR="00F47E29" w:rsidRPr="00CD2415" w:rsidRDefault="007D2767" w:rsidP="00FA1EAF">
      <w:pPr>
        <w:pStyle w:val="Body"/>
        <w:spacing w:line="240" w:lineRule="auto"/>
        <w:ind w:left="658"/>
        <w:rPr>
          <w:rFonts w:eastAsia="Times New Roman" w:cstheme="minorHAnsi"/>
          <w:sz w:val="20"/>
          <w:szCs w:val="24"/>
          <w:lang w:eastAsia="pt-BR"/>
        </w:rPr>
      </w:pPr>
      <w:r w:rsidRPr="00CD2415">
        <w:rPr>
          <w:rFonts w:cstheme="minorHAnsi"/>
          <w:noProof/>
          <w:lang w:eastAsia="pt-BR"/>
        </w:rPr>
        <w:drawing>
          <wp:inline distT="0" distB="0" distL="0" distR="0" wp14:anchorId="4E1CE52B" wp14:editId="4590872D">
            <wp:extent cx="5753100" cy="829354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3499" cy="83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756A" w:rsidRPr="00CD2415">
        <w:rPr>
          <w:rFonts w:cstheme="minorHAnsi"/>
        </w:rPr>
        <w:t xml:space="preserve"> </w:t>
      </w:r>
      <w:r w:rsidR="00037F05" w:rsidRPr="00CD2415">
        <w:rPr>
          <w:rFonts w:eastAsia="Times New Roman" w:cstheme="minorHAnsi"/>
          <w:sz w:val="20"/>
          <w:szCs w:val="24"/>
          <w:lang w:eastAsia="pt-BR"/>
        </w:rPr>
        <w:t xml:space="preserve">Figura 1: Validações e Cálculos </w:t>
      </w:r>
      <w:r w:rsidRPr="00CD2415">
        <w:rPr>
          <w:rFonts w:eastAsia="Times New Roman" w:cstheme="minorHAnsi"/>
          <w:sz w:val="20"/>
          <w:szCs w:val="24"/>
          <w:lang w:eastAsia="pt-BR"/>
        </w:rPr>
        <w:t>do Processo</w:t>
      </w:r>
    </w:p>
    <w:p w14:paraId="517B6C24" w14:textId="77777777" w:rsidR="00F47E29" w:rsidRPr="00F01AE3" w:rsidRDefault="00F47E29" w:rsidP="00244CA1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2" w:name="_Toc492663143"/>
      <w:r w:rsidRPr="00F01AE3">
        <w:rPr>
          <w:b/>
          <w:sz w:val="22"/>
          <w:szCs w:val="22"/>
        </w:rPr>
        <w:t>Procedimento</w:t>
      </w:r>
      <w:r w:rsidR="00255FA8" w:rsidRPr="00F01AE3">
        <w:rPr>
          <w:b/>
          <w:sz w:val="22"/>
          <w:szCs w:val="22"/>
        </w:rPr>
        <w:t xml:space="preserve"> </w:t>
      </w:r>
      <w:r w:rsidR="00244CA1" w:rsidRPr="00F01AE3">
        <w:rPr>
          <w:b/>
          <w:sz w:val="22"/>
          <w:szCs w:val="22"/>
        </w:rPr>
        <w:t>de Equalização de Gastos e Volumes</w:t>
      </w:r>
      <w:bookmarkEnd w:id="12"/>
    </w:p>
    <w:p w14:paraId="06F08B41" w14:textId="77777777" w:rsidR="00244CA1" w:rsidRPr="00F01AE3" w:rsidRDefault="00244CA1" w:rsidP="00CD2415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 processo de Equalização de Gastos e Volumes tem como insumo o processo de Gestão de Acordos de Individualização da Produção e, como gatilho, a submissão do AIP pelo Operador à ANP.</w:t>
      </w:r>
    </w:p>
    <w:p w14:paraId="551AFED9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Efetivação do AIP para início do Processo de EGV – Atividades 1 a 3, ilustradas no Padrão de Processo (Anexo I)</w:t>
      </w:r>
    </w:p>
    <w:p w14:paraId="07AFBA8E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formalização da aprovação e efetivação do AIP pela ANP, a Gerência Executiva do AIP e o Operador recebem o AIP aprovado pela ANP através de comunicação formal emitida pela ANP (atividades 2 e 3 do fluxograma). Com isso, o processo de EGV pode ser iniciado pela GE dos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>.</w:t>
      </w:r>
    </w:p>
    <w:p w14:paraId="7B948664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bookmarkStart w:id="13" w:name="_Ref487719916"/>
      <w:r w:rsidRPr="00F01AE3">
        <w:rPr>
          <w:b/>
          <w:sz w:val="22"/>
          <w:szCs w:val="22"/>
        </w:rPr>
        <w:t>Início do Processo de EGV – Atividades 4 e 5, ilustradas no Padrão de Processo (Anexo I)</w:t>
      </w:r>
      <w:bookmarkEnd w:id="13"/>
    </w:p>
    <w:p w14:paraId="0BF49BFF" w14:textId="1C14C4D0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O processo de Equalização de Gastos e Volumes inicia-se a partir da realização de reunião entre a </w:t>
      </w:r>
      <w:r w:rsidR="00AE26D1" w:rsidRPr="00F01AE3">
        <w:rPr>
          <w:rFonts w:asciiTheme="minorHAnsi" w:hAnsiTheme="minorHAnsi" w:cstheme="minorHAnsi"/>
          <w:sz w:val="22"/>
          <w:szCs w:val="22"/>
        </w:rPr>
        <w:t>GE</w:t>
      </w:r>
      <w:r w:rsidRPr="00F01AE3">
        <w:rPr>
          <w:rFonts w:asciiTheme="minorHAnsi" w:hAnsiTheme="minorHAnsi" w:cstheme="minorHAnsi"/>
          <w:sz w:val="22"/>
          <w:szCs w:val="22"/>
        </w:rPr>
        <w:t xml:space="preserve"> dos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com o Operador para que seja possível o alinhamento inicial sobre o processo de EGV, além da definição do cronograma de trabalho, o índice de correção dos valores e da estrutura de dados e informações a serem fornecidos. Uma ata de reunião é elaborada ao final da reunião para registrar o início do processo.</w:t>
      </w:r>
    </w:p>
    <w:p w14:paraId="42114E3E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Obtenção de Dados Necessários aos Cálculos do EGV – Atividades 6 a 9, ilustradas no Padrão de Processo (Anexo I)</w:t>
      </w:r>
    </w:p>
    <w:p w14:paraId="2CF37ABD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O próximo passo é a elaboração, pela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, de uma carta ao Operador da Jazida Compartilhada solicitando os dados necessários, conforme acordado em reunião. Este ofício representa a formalização do início do processo de EGV e a solicitação dos dados necessários para a realização dos cálculos da equalização de gastos e volumes. </w:t>
      </w:r>
    </w:p>
    <w:p w14:paraId="13B872D0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Os dados necessários para realização dos cálculos do EGV são:</w:t>
      </w:r>
    </w:p>
    <w:p w14:paraId="26195A59" w14:textId="63CF2A90" w:rsidR="00244CA1" w:rsidRPr="00F01AE3" w:rsidRDefault="00244CA1" w:rsidP="00CD2415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lastRenderedPageBreak/>
        <w:t>Dados a considerar: todos os relacionados ao desenvolvimento da jazida compartilhada nas Fases de Exploração e Produção</w:t>
      </w:r>
      <w:r w:rsidR="00BC0207" w:rsidRPr="00F01AE3">
        <w:rPr>
          <w:rFonts w:asciiTheme="minorHAnsi" w:hAnsiTheme="minorHAnsi" w:cstheme="minorHAnsi"/>
          <w:sz w:val="22"/>
          <w:szCs w:val="22"/>
        </w:rPr>
        <w:t>, de forma mensal</w:t>
      </w:r>
    </w:p>
    <w:p w14:paraId="35ABD86E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a. Custos: </w:t>
      </w:r>
    </w:p>
    <w:p w14:paraId="1C9AD479" w14:textId="77777777" w:rsidR="00244CA1" w:rsidRPr="00F01AE3" w:rsidRDefault="00244CA1" w:rsidP="00CD2415">
      <w:pPr>
        <w:spacing w:line="360" w:lineRule="auto"/>
        <w:ind w:left="2124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- Operacionais, inclusive afretamento e aluguéis</w:t>
      </w:r>
    </w:p>
    <w:p w14:paraId="7AD5D7A2" w14:textId="77777777" w:rsidR="00244CA1" w:rsidRPr="00F01AE3" w:rsidRDefault="00244CA1" w:rsidP="00CD2415">
      <w:pPr>
        <w:spacing w:line="360" w:lineRule="auto"/>
        <w:ind w:left="2124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- Investimentos realizados no país </w:t>
      </w:r>
    </w:p>
    <w:p w14:paraId="78BE4C19" w14:textId="77777777" w:rsidR="00244CA1" w:rsidRPr="00F01AE3" w:rsidRDefault="00244CA1" w:rsidP="00CD2415">
      <w:pPr>
        <w:spacing w:line="360" w:lineRule="auto"/>
        <w:ind w:left="2833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- Gastos não facilmente identificáveis e não associados diretamente às Operações. </w:t>
      </w:r>
    </w:p>
    <w:p w14:paraId="377A4ACD" w14:textId="77777777" w:rsidR="00244CA1" w:rsidRPr="00F01AE3" w:rsidRDefault="00244CA1" w:rsidP="00CD2415">
      <w:pPr>
        <w:spacing w:line="360" w:lineRule="auto"/>
        <w:ind w:left="2833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  <w:u w:val="single"/>
        </w:rPr>
        <w:t>Observação:</w:t>
      </w:r>
      <w:r w:rsidRPr="00F01AE3">
        <w:rPr>
          <w:rFonts w:asciiTheme="minorHAnsi" w:hAnsiTheme="minorHAnsi" w:cstheme="minorHAnsi"/>
          <w:sz w:val="22"/>
          <w:szCs w:val="22"/>
        </w:rPr>
        <w:t xml:space="preserve"> Gastos relacionados à multas e variação cambial demandarão uma análise mais detalhada para aceitar sua inclusão na base de gastos a ser equalizada, e podem ser indicados como pontos para auditoria futura.</w:t>
      </w:r>
    </w:p>
    <w:p w14:paraId="69946DB7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b. Tributos e impostos não recuperáveis</w:t>
      </w:r>
    </w:p>
    <w:p w14:paraId="7E41FE1D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c. Produção de óleo</w:t>
      </w:r>
    </w:p>
    <w:p w14:paraId="44BE894F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d. Produção de gás natural (gás escoado)</w:t>
      </w:r>
    </w:p>
    <w:p w14:paraId="5CA66F65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e. Royalties</w:t>
      </w:r>
    </w:p>
    <w:p w14:paraId="780C4B68" w14:textId="77777777" w:rsidR="00244CA1" w:rsidRPr="00F01AE3" w:rsidRDefault="00244CA1" w:rsidP="00CD2415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Dados que usualmente não são considerados na base de gastos equalizáveis mas que devem ser avaliados caso a caso:</w:t>
      </w:r>
    </w:p>
    <w:p w14:paraId="0AB5CD32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a. Participação Especial</w:t>
      </w:r>
    </w:p>
    <w:p w14:paraId="7B8DA6BD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b. Taxa de retenção de área</w:t>
      </w:r>
    </w:p>
    <w:p w14:paraId="0442ADFB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c. Gastos relativos a Programa Exploratório Mínimo (PEM)</w:t>
      </w:r>
    </w:p>
    <w:p w14:paraId="0D19197A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d. Custos, impostos e tributos recuperáveis</w:t>
      </w:r>
    </w:p>
    <w:p w14:paraId="16F32601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e. Depreciação de ativos</w:t>
      </w:r>
    </w:p>
    <w:p w14:paraId="0905AF30" w14:textId="77777777" w:rsidR="00244CA1" w:rsidRPr="00F01AE3" w:rsidRDefault="00244CA1" w:rsidP="00CD2415">
      <w:pPr>
        <w:spacing w:line="360" w:lineRule="auto"/>
        <w:ind w:left="1416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f. Bônus de assinatura</w:t>
      </w:r>
    </w:p>
    <w:p w14:paraId="3A1E681B" w14:textId="77777777" w:rsidR="00244CA1" w:rsidRPr="00F01AE3" w:rsidRDefault="00244CA1" w:rsidP="00CD2415">
      <w:pPr>
        <w:spacing w:line="360" w:lineRule="auto"/>
        <w:ind w:left="2124" w:firstLine="1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g. Outros gastos não relacionados com as operações conduzidas no país, inclusive investime</w:t>
      </w:r>
      <w:r w:rsidR="00CD2415" w:rsidRPr="00F01AE3">
        <w:rPr>
          <w:rFonts w:asciiTheme="minorHAnsi" w:hAnsiTheme="minorHAnsi" w:cstheme="minorHAnsi"/>
          <w:sz w:val="22"/>
          <w:szCs w:val="22"/>
        </w:rPr>
        <w:t xml:space="preserve">ntos relacionados com o </w:t>
      </w:r>
      <w:proofErr w:type="spellStart"/>
      <w:r w:rsidR="00CD2415" w:rsidRPr="00F01AE3">
        <w:rPr>
          <w:rFonts w:asciiTheme="minorHAnsi" w:hAnsiTheme="minorHAnsi" w:cstheme="minorHAnsi"/>
          <w:sz w:val="22"/>
          <w:szCs w:val="22"/>
        </w:rPr>
        <w:t>Repetro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8C98F8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o recebimento dos dados (consolidado mensal, por ano) do Operador, 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solicita à ANP os seguintes dados para efetuar a comparação com os dados fornecidos pelo Operador:</w:t>
      </w:r>
    </w:p>
    <w:p w14:paraId="1BD52EAC" w14:textId="77777777" w:rsidR="00244CA1" w:rsidRPr="00F01AE3" w:rsidRDefault="00244CA1" w:rsidP="00CD2415">
      <w:pPr>
        <w:spacing w:line="360" w:lineRule="auto"/>
        <w:ind w:left="709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- Produção de óleo e gás natural (produzido e escoado)</w:t>
      </w:r>
    </w:p>
    <w:p w14:paraId="5C6C4863" w14:textId="77777777" w:rsidR="00244CA1" w:rsidRPr="00F01AE3" w:rsidRDefault="00244CA1" w:rsidP="00CD2415">
      <w:pPr>
        <w:spacing w:line="360" w:lineRule="auto"/>
        <w:ind w:left="709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- Royalties</w:t>
      </w:r>
    </w:p>
    <w:p w14:paraId="4121D7E1" w14:textId="77777777" w:rsidR="00244CA1" w:rsidRPr="00F01AE3" w:rsidRDefault="00244CA1" w:rsidP="00CD2415">
      <w:pPr>
        <w:spacing w:line="360" w:lineRule="auto"/>
        <w:ind w:left="709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- Valores de referência das correntes (óleo e gás natural)</w:t>
      </w:r>
    </w:p>
    <w:p w14:paraId="4A63AB61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lastRenderedPageBreak/>
        <w:t>Alguns dados fornecidos pela ANP estão em base diferente daquela informada pelo o Operador (base trimestral ou anual vs. mensal do Operador), mas mesmo assim são usados para confrontar também com valores de investimento em PEM, Gastos operacionais e Participação Especial.</w:t>
      </w:r>
    </w:p>
    <w:p w14:paraId="6CB27D81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Os dados detalhados acima são fornecidos pela ANP através dos seguintes documentos:</w:t>
      </w:r>
    </w:p>
    <w:p w14:paraId="1685B2D4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Planilhas e demais documentos de gastos e produção de óleo e gás natural;</w:t>
      </w:r>
    </w:p>
    <w:p w14:paraId="222A3753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Tabela com preço de referência de óleo e gás natural;</w:t>
      </w:r>
    </w:p>
    <w:p w14:paraId="4899297E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Gastos em poços, UEP (aluguéis, afretamentos, serviços para operação e manutenção) e Sistemas Submarinos;</w:t>
      </w:r>
    </w:p>
    <w:p w14:paraId="36D9A569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Custos operacionais;</w:t>
      </w:r>
    </w:p>
    <w:p w14:paraId="56AB706E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Custos de aquisição de dados de G&amp;G e RE de desenvolvimento;</w:t>
      </w:r>
    </w:p>
    <w:p w14:paraId="0A050A26" w14:textId="77777777" w:rsidR="00244CA1" w:rsidRPr="00F01AE3" w:rsidRDefault="00244CA1" w:rsidP="00CD2415">
      <w:pPr>
        <w:pStyle w:val="PargrafodaLista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Planilhas de aquisição de dados de G&amp;G e RE da fase exploratória.</w:t>
      </w:r>
    </w:p>
    <w:p w14:paraId="7E6313A4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solicita por carta à ANP as informações de investimentos e custos operacionais, valores mensais das correntes de óleo e gás natural, dentre outras informações necessárias, permitindo a verificação dos valores fornecidos pelo Operador. Os dados recebidos pela ANP devem ser inseridos no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pela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>.</w:t>
      </w:r>
    </w:p>
    <w:p w14:paraId="39F5717D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Análise de Consistência – Atividades 10 a 12, ilustradas no Padrão de Processo (Anexo I)</w:t>
      </w:r>
    </w:p>
    <w:p w14:paraId="180FAC71" w14:textId="77777777" w:rsidR="00CD2415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disponibilização dos documentos pelo Operador e pela ANP, 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realizará a análise de consistência dos dados e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fará as principais verificações </w:t>
      </w:r>
      <w:r w:rsidR="00CD2415" w:rsidRPr="00F01AE3">
        <w:rPr>
          <w:rFonts w:asciiTheme="minorHAnsi" w:hAnsiTheme="minorHAnsi" w:cstheme="minorHAnsi"/>
          <w:sz w:val="22"/>
          <w:szCs w:val="22"/>
        </w:rPr>
        <w:t>nos dados recebidos, tais como:</w:t>
      </w:r>
    </w:p>
    <w:p w14:paraId="2C573156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V</w:t>
      </w:r>
      <w:r w:rsidR="00244CA1" w:rsidRPr="00F01AE3">
        <w:rPr>
          <w:rFonts w:asciiTheme="minorHAnsi" w:hAnsiTheme="minorHAnsi" w:cstheme="minorHAnsi"/>
          <w:sz w:val="22"/>
          <w:szCs w:val="22"/>
        </w:rPr>
        <w:t>erificar se os gastos são relativos à Jazida Compartilhada;</w:t>
      </w:r>
    </w:p>
    <w:p w14:paraId="280C7241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Avaliar </w:t>
      </w:r>
      <w:r w:rsidR="00244CA1" w:rsidRPr="00F01AE3">
        <w:rPr>
          <w:rFonts w:asciiTheme="minorHAnsi" w:hAnsiTheme="minorHAnsi" w:cstheme="minorHAnsi"/>
          <w:sz w:val="22"/>
          <w:szCs w:val="22"/>
        </w:rPr>
        <w:t>valores pagos a título de royalties e PE;</w:t>
      </w:r>
    </w:p>
    <w:p w14:paraId="0088026E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Comparar </w:t>
      </w:r>
      <w:r w:rsidR="00244CA1" w:rsidRPr="00F01AE3">
        <w:rPr>
          <w:rFonts w:asciiTheme="minorHAnsi" w:hAnsiTheme="minorHAnsi" w:cstheme="minorHAnsi"/>
          <w:sz w:val="22"/>
          <w:szCs w:val="22"/>
        </w:rPr>
        <w:t>investimentos realizados;</w:t>
      </w:r>
    </w:p>
    <w:p w14:paraId="7CD1EF21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Comparar </w:t>
      </w:r>
      <w:r w:rsidR="00244CA1" w:rsidRPr="00F01AE3">
        <w:rPr>
          <w:rFonts w:asciiTheme="minorHAnsi" w:hAnsiTheme="minorHAnsi" w:cstheme="minorHAnsi"/>
          <w:sz w:val="22"/>
          <w:szCs w:val="22"/>
        </w:rPr>
        <w:t>custos operacionais;</w:t>
      </w:r>
    </w:p>
    <w:p w14:paraId="1CCFB589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Comparar </w:t>
      </w:r>
      <w:r w:rsidR="00244CA1" w:rsidRPr="00F01AE3">
        <w:rPr>
          <w:rFonts w:asciiTheme="minorHAnsi" w:hAnsiTheme="minorHAnsi" w:cstheme="minorHAnsi"/>
          <w:sz w:val="22"/>
          <w:szCs w:val="22"/>
        </w:rPr>
        <w:t>as produções de óleo e gás natural;</w:t>
      </w:r>
    </w:p>
    <w:p w14:paraId="6774010A" w14:textId="77777777" w:rsidR="00244CA1" w:rsidRPr="00F01AE3" w:rsidRDefault="00CD2415" w:rsidP="00CD2415">
      <w:pPr>
        <w:pStyle w:val="PargrafodaLista"/>
        <w:numPr>
          <w:ilvl w:val="0"/>
          <w:numId w:val="29"/>
        </w:numPr>
        <w:spacing w:line="360" w:lineRule="auto"/>
        <w:ind w:left="1904" w:hanging="476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Outras </w:t>
      </w:r>
      <w:r w:rsidR="00244CA1" w:rsidRPr="00F01AE3">
        <w:rPr>
          <w:rFonts w:asciiTheme="minorHAnsi" w:hAnsiTheme="minorHAnsi" w:cstheme="minorHAnsi"/>
          <w:sz w:val="22"/>
          <w:szCs w:val="22"/>
        </w:rPr>
        <w:t>verificações preliminares.</w:t>
      </w:r>
    </w:p>
    <w:p w14:paraId="6858C648" w14:textId="3D4CC365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 primeira etapa da análise, ainda em caráter preliminar, deverá ser realizada automaticamente considerando os parâmetros definidos no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. Uma segunda etapa que deve ser realizada no sistema, pelo GCF, é a atualização dos índices financeiros de correção dos valores de gastos e receitas provenientes da produção, quando cabível. Nesta atividade o GCF irá inserir </w:t>
      </w:r>
      <w:r w:rsidRPr="00F01AE3">
        <w:rPr>
          <w:rFonts w:asciiTheme="minorHAnsi" w:hAnsiTheme="minorHAnsi" w:cstheme="minorHAnsi"/>
          <w:sz w:val="22"/>
          <w:szCs w:val="22"/>
        </w:rPr>
        <w:lastRenderedPageBreak/>
        <w:t xml:space="preserve">os índices financeiros que foram anteriormente negociados em reunião inicial entre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e o Operador.</w:t>
      </w:r>
    </w:p>
    <w:p w14:paraId="30BB9658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análise de consistência,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irá verificar a necessidade de esclarecimentos técnicos.</w:t>
      </w:r>
    </w:p>
    <w:p w14:paraId="27836DCF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Análise Técnica – Atividades 13 a 17, ilustradas no Padrão de Processo (Anexo I)</w:t>
      </w:r>
    </w:p>
    <w:p w14:paraId="78186EBE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Caso sejam necessários esclarecimentos acerca dos dados recebidos, as seguintes áreas técnicas da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poderão ser acionadas via </w:t>
      </w:r>
      <w:r w:rsidRPr="00F01AE3">
        <w:rPr>
          <w:rFonts w:asciiTheme="minorHAnsi" w:hAnsiTheme="minorHAnsi" w:cstheme="minorHAnsi"/>
          <w:i/>
          <w:sz w:val="22"/>
          <w:szCs w:val="22"/>
        </w:rPr>
        <w:t>workflow</w:t>
      </w:r>
      <w:r w:rsidRPr="00F01AE3">
        <w:rPr>
          <w:rFonts w:asciiTheme="minorHAnsi" w:hAnsiTheme="minorHAnsi" w:cstheme="minorHAnsi"/>
          <w:sz w:val="22"/>
          <w:szCs w:val="22"/>
        </w:rPr>
        <w:t xml:space="preserve"> no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: Comercialização, Desenvolvimento e Produção, Exploração e Reservatório. Esses esclarecimentos técnicos podem estar relacionados com a identificação de desvios, alteração de escopo de atividades planejadas, levantamento de atividades físicas, justificativas de operações realizadas na Jazida Compartilhada, dentre outros, que darão respaldo técnico para 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sobre os dados recebidos e possibilitarão a conclusão do EGV.</w:t>
      </w:r>
    </w:p>
    <w:p w14:paraId="5C5D7957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Quando necessário o envolvimento das Áreas Técnicas, as seguintes principais análises são realizadas, embora outras possam ser solicitadas em casos específicos:</w:t>
      </w:r>
    </w:p>
    <w:p w14:paraId="0904E470" w14:textId="77777777" w:rsidR="00244CA1" w:rsidRPr="00F01AE3" w:rsidRDefault="00244CA1" w:rsidP="00CD2415">
      <w:pPr>
        <w:pStyle w:val="Body"/>
        <w:numPr>
          <w:ilvl w:val="0"/>
          <w:numId w:val="13"/>
        </w:numPr>
        <w:spacing w:line="360" w:lineRule="auto"/>
        <w:ind w:left="1718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SDP: análise da produção de óleo e gás, custos de poços, UEP, e SS, validação de volumes, receitas e preços de referência de óleo e gás;</w:t>
      </w:r>
    </w:p>
    <w:p w14:paraId="1BBC4A65" w14:textId="77777777" w:rsidR="00244CA1" w:rsidRPr="00F01AE3" w:rsidRDefault="00244CA1" w:rsidP="00CD2415">
      <w:pPr>
        <w:pStyle w:val="Body"/>
        <w:numPr>
          <w:ilvl w:val="0"/>
          <w:numId w:val="13"/>
        </w:numPr>
        <w:spacing w:line="360" w:lineRule="auto"/>
        <w:ind w:left="1718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SRE: análise de custo de aquisição de dados G&amp;G e RE de desenvolvimento e produção; e</w:t>
      </w:r>
    </w:p>
    <w:p w14:paraId="217ED6E4" w14:textId="77777777" w:rsidR="00244CA1" w:rsidRPr="00F01AE3" w:rsidRDefault="00244CA1" w:rsidP="00CD2415">
      <w:pPr>
        <w:pStyle w:val="Body"/>
        <w:numPr>
          <w:ilvl w:val="0"/>
          <w:numId w:val="13"/>
        </w:numPr>
        <w:spacing w:line="360" w:lineRule="auto"/>
        <w:ind w:left="1729"/>
        <w:rPr>
          <w:rFonts w:eastAsia="Times New Roman" w:cstheme="minorHAnsi"/>
          <w:lang w:eastAsia="pt-BR"/>
        </w:rPr>
      </w:pPr>
      <w:r w:rsidRPr="00F01AE3">
        <w:rPr>
          <w:rFonts w:eastAsia="Times New Roman" w:cstheme="minorHAnsi"/>
          <w:lang w:eastAsia="pt-BR"/>
        </w:rPr>
        <w:t>SUE: análise de planilhas de aquisição de dados de G&amp;G e RE de exploração, atividades relacionadas ao PEM, dentre outras.</w:t>
      </w:r>
    </w:p>
    <w:p w14:paraId="1A06A646" w14:textId="44F0CA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As análises técnicas devem ser alimentadas via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pelas Áreas Técnicas permitindo a consulta pela GE dos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e pela GCF.</w:t>
      </w:r>
    </w:p>
    <w:p w14:paraId="0C257CD0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Pontos para Fiscalização – Atividade 18, ilustrada no Padrão de Processo (Anexo I):</w:t>
      </w:r>
    </w:p>
    <w:p w14:paraId="1531DF94" w14:textId="77777777" w:rsidR="00244CA1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Após a fase de análises técnicas, a Assessoria Especial de Fiscalização pode identificar pontos para fiscalização e para uma avaliação futura mais aprofundada. Essa atividade é utilizada como entrada de dados para o processo de Monitoramento e Auditoria.</w:t>
      </w:r>
    </w:p>
    <w:p w14:paraId="0B991D18" w14:textId="77777777" w:rsidR="0064582E" w:rsidRPr="00F01AE3" w:rsidRDefault="0064582E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</w:p>
    <w:p w14:paraId="355AE418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lastRenderedPageBreak/>
        <w:t>Solicitação de Esclarecimentos ao Operador – Atividades 19 e 20, ilustradas no Padrão de Processo (Anexo I)</w:t>
      </w:r>
    </w:p>
    <w:p w14:paraId="7AED3073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avaliação das Áreas Técnicas, caso necessário,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encaminhará, via e-mail enviado pelo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, solicitação de esclarecimentos ao Operador da Jazida Compartilhada com as divergências encontradas e/ou dúvidas. </w:t>
      </w:r>
    </w:p>
    <w:p w14:paraId="7868B3C5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 Operador, por sua vez, deve detalhar as informações fornecidas, esclarecer possíveis questionamentos e retornar com as informações completas, sendo necessário que o processo recomece, na fase inicial de solicitação de documentos, via sistema.</w:t>
      </w:r>
    </w:p>
    <w:p w14:paraId="3FBF8E5A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>Análise e Negociação acerca dos Cálculos – Atividades 21 a 26, ilustradas no Padrão de Processo (Anexo I):</w:t>
      </w:r>
    </w:p>
    <w:p w14:paraId="32C4EC16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análise realizada pelo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dos dados fornecidos pelo Operador e ANP (com ou sem auxílio das áreas técnicas), 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fará a redistribuição das Receitas, dos Gastos, dos Royalties, dos Impostos e dos Saldos Preliminares (credor e/ou devedor) segundo a metodologia de cálculo aplicável à equalização de gastos e volumes, conforme definido nos Acordos de Gestão específicos e seus respectivos anexos.</w:t>
      </w:r>
    </w:p>
    <w:p w14:paraId="47A1D638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 partir desta avaliação, o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analisa os cálculos internos realizados e negocia junto ao Operador os resultados encontrados com a redistribuição. O resultado desse trabalho interno realizado pela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será confrontado com os valores a serem apresentados pelo Operador.</w:t>
      </w:r>
    </w:p>
    <w:p w14:paraId="26A3EE19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Caso não haja consenso sobre os resultados, o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irá solicitar esclarecimentos ao Operador e, se necessário, documentação adicional para justificar as diferenças encontradas. Em seguida, o Operador deverá detalhar as informações ou esclarecer os questionamentos.</w:t>
      </w:r>
    </w:p>
    <w:p w14:paraId="79F2010E" w14:textId="649409BA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Caso haja consenso sobre os resultados obtidos pela </w:t>
      </w:r>
      <w:r w:rsidR="00A0745E" w:rsidRPr="00F01AE3">
        <w:rPr>
          <w:rFonts w:asciiTheme="minorHAnsi" w:hAnsiTheme="minorHAnsi" w:cstheme="minorHAnsi"/>
          <w:sz w:val="22"/>
          <w:szCs w:val="22"/>
        </w:rPr>
        <w:t>Pré-Sal Petróleo</w:t>
      </w:r>
      <w:r w:rsidRPr="00F01AE3">
        <w:rPr>
          <w:rFonts w:asciiTheme="minorHAnsi" w:hAnsiTheme="minorHAnsi" w:cstheme="minorHAnsi"/>
          <w:sz w:val="22"/>
          <w:szCs w:val="22"/>
        </w:rPr>
        <w:t xml:space="preserve"> e os resultados apresentados pelo Operador, a GCF deve elaborar Nota Técnica de consolidação das análises e liberar para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e para o Diretor de Gestão de Contratos via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. Cabe à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preparar a PRD – Proposta de Resolução da Diretoria.</w:t>
      </w:r>
    </w:p>
    <w:p w14:paraId="541F7D55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A Diretoria de Gestão dos Contratos irá receber a PRD e encaminhar à DE que irá analisar o documento e levar ao CA, se necessário.</w:t>
      </w:r>
    </w:p>
    <w:p w14:paraId="30AD09C8" w14:textId="77777777" w:rsidR="00D91CEC" w:rsidRPr="00F01AE3" w:rsidRDefault="00D91CEC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bookmarkStart w:id="14" w:name="_Ref487720143"/>
      <w:r w:rsidRPr="00F01AE3">
        <w:rPr>
          <w:b/>
          <w:sz w:val="22"/>
          <w:szCs w:val="22"/>
        </w:rPr>
        <w:br w:type="page"/>
      </w:r>
    </w:p>
    <w:p w14:paraId="5717FA79" w14:textId="2268FC8A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lastRenderedPageBreak/>
        <w:t>Atualização e Análise do Saldo de EGV – Atividades 27 a 35, ilustradas no Padrão de Processo (Anexo I):</w:t>
      </w:r>
      <w:bookmarkEnd w:id="14"/>
    </w:p>
    <w:p w14:paraId="4DF0D091" w14:textId="1E45FDE3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elaboração da NT de consolidação das análises dos cálculos da equalização (EGV), a GCF deve atualizar e analisar o saldo da União, realizando a gestão dos saldos com suporte do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, verificando se há crédito ou débito para a União. </w:t>
      </w:r>
    </w:p>
    <w:p w14:paraId="47370C00" w14:textId="77777777" w:rsidR="00244CA1" w:rsidRPr="00F01AE3" w:rsidRDefault="00244CA1" w:rsidP="00CD2415">
      <w:pPr>
        <w:pStyle w:val="PargrafodaLista"/>
        <w:numPr>
          <w:ilvl w:val="3"/>
          <w:numId w:val="2"/>
        </w:numPr>
        <w:spacing w:before="240" w:after="200" w:line="360" w:lineRule="auto"/>
        <w:ind w:left="2007" w:hanging="64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1AE3">
        <w:rPr>
          <w:rFonts w:asciiTheme="minorHAnsi" w:hAnsiTheme="minorHAnsi" w:cstheme="minorHAnsi"/>
          <w:b/>
          <w:sz w:val="22"/>
          <w:szCs w:val="22"/>
        </w:rPr>
        <w:t>Saldo credor para União</w:t>
      </w:r>
    </w:p>
    <w:p w14:paraId="25D43817" w14:textId="77777777" w:rsidR="00244CA1" w:rsidRPr="00F01AE3" w:rsidRDefault="00244CA1" w:rsidP="00CD2415">
      <w:pPr>
        <w:spacing w:line="360" w:lineRule="auto"/>
        <w:ind w:left="1416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Em caso de crédito para a União, os acertos serão feitos preferencialmente em pecúnia, mas poderão ser negociados também em óleo e gás natural, a depender das condições estabelecidas nos respectivos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e Acordos de Gestão.</w:t>
      </w:r>
    </w:p>
    <w:p w14:paraId="597886E5" w14:textId="77777777" w:rsidR="00244CA1" w:rsidRPr="00F01AE3" w:rsidRDefault="00244CA1" w:rsidP="00CD2415">
      <w:pPr>
        <w:pStyle w:val="PargrafodaLista"/>
        <w:numPr>
          <w:ilvl w:val="0"/>
          <w:numId w:val="28"/>
        </w:numPr>
        <w:spacing w:line="360" w:lineRule="auto"/>
        <w:ind w:left="2194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Pagamento em pecúnia:</w:t>
      </w:r>
    </w:p>
    <w:p w14:paraId="7FDBF666" w14:textId="7E29B4B8" w:rsidR="00244CA1" w:rsidRPr="00F01AE3" w:rsidRDefault="00244CA1" w:rsidP="00CD2415">
      <w:pPr>
        <w:spacing w:line="360" w:lineRule="auto"/>
        <w:ind w:left="1834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Caso o acerto seja feito em pecúnia, a GCF irá emitir o respectivo Documento de Arrecadação </w:t>
      </w:r>
      <w:r w:rsidR="00EA0D5C" w:rsidRPr="00F01AE3">
        <w:rPr>
          <w:rFonts w:asciiTheme="minorHAnsi" w:hAnsiTheme="minorHAnsi" w:cstheme="minorHAnsi"/>
          <w:sz w:val="22"/>
          <w:szCs w:val="22"/>
        </w:rPr>
        <w:t xml:space="preserve">(GRU) </w:t>
      </w:r>
      <w:r w:rsidRPr="00F01AE3">
        <w:rPr>
          <w:rFonts w:asciiTheme="minorHAnsi" w:hAnsiTheme="minorHAnsi" w:cstheme="minorHAnsi"/>
          <w:sz w:val="22"/>
          <w:szCs w:val="22"/>
        </w:rPr>
        <w:t>para cobrança ao Operador e Parceiros. O processo deve ser repetido, se necessário, e atualizado com a informação do recebimento do pagamento em pecúnia.</w:t>
      </w:r>
    </w:p>
    <w:p w14:paraId="3488A6E2" w14:textId="77777777" w:rsidR="00244CA1" w:rsidRPr="00F01AE3" w:rsidRDefault="00244CA1" w:rsidP="00CD2415">
      <w:pPr>
        <w:pStyle w:val="PargrafodaLista"/>
        <w:numPr>
          <w:ilvl w:val="0"/>
          <w:numId w:val="28"/>
        </w:numPr>
        <w:spacing w:line="360" w:lineRule="auto"/>
        <w:ind w:left="2194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Pagamento em óleo e gás natural:</w:t>
      </w:r>
    </w:p>
    <w:p w14:paraId="79770171" w14:textId="77777777" w:rsidR="00244CA1" w:rsidRPr="00F01AE3" w:rsidRDefault="00244CA1" w:rsidP="00CD2415">
      <w:pPr>
        <w:spacing w:line="360" w:lineRule="auto"/>
        <w:ind w:left="1834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Caso haja previsão no AIP e no Acordo de Gestão e o acerto seja feito em óleo e gás natural,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irá solicitar ao Operador e Parceiros a transferência da parcela de óleo e gás natural devida à União. Nesse caso, o processo deve ser repetido e atualizado com a informação da transferência dos volumes do Operador e Parceiros à União, que pode ser feita de uma ou mais vezes, a depender do volume de produção do Operador e demais parceiros. A informação de transferência também servirá de insumo para os processos de Comercialização (SCP) e Cálculo dos Volumes e Parcelas da União (SDP).</w:t>
      </w:r>
    </w:p>
    <w:p w14:paraId="657F47FB" w14:textId="77777777" w:rsidR="00A0745E" w:rsidRPr="00F01AE3" w:rsidRDefault="00A0745E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F01AE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EF952CE" w14:textId="77777777" w:rsidR="00244CA1" w:rsidRPr="00F01AE3" w:rsidRDefault="00244CA1" w:rsidP="00CD2415">
      <w:pPr>
        <w:pStyle w:val="PargrafodaLista"/>
        <w:numPr>
          <w:ilvl w:val="3"/>
          <w:numId w:val="2"/>
        </w:numPr>
        <w:spacing w:before="240" w:after="200" w:line="360" w:lineRule="auto"/>
        <w:ind w:left="2007" w:hanging="64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1AE3">
        <w:rPr>
          <w:rFonts w:asciiTheme="minorHAnsi" w:hAnsiTheme="minorHAnsi" w:cstheme="minorHAnsi"/>
          <w:b/>
          <w:sz w:val="22"/>
          <w:szCs w:val="22"/>
        </w:rPr>
        <w:lastRenderedPageBreak/>
        <w:t>Saldo devedor para União</w:t>
      </w:r>
    </w:p>
    <w:p w14:paraId="1DEA94E3" w14:textId="2106ED15" w:rsidR="00244CA1" w:rsidRPr="00F01AE3" w:rsidRDefault="00244CA1" w:rsidP="00CD2415">
      <w:pPr>
        <w:spacing w:line="360" w:lineRule="auto"/>
        <w:ind w:left="1416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Em caso de débito para a União, os acertos serão feitos sempre em produção de óleo e gás natural com a emissão de documentação fiscal pela GCF para realização da transferência da parcela de óleo e gás natural devida pela União ao Operador e Parceiros. Essa parcela representa um volume de óleo e gás natural comprometido para a quitação do saldo credor e deve ser considerado na programação de retirada pelo processo de Comercialização (SCP). Além disso, esse saldo devedor deve ser considerado no processo de Cálculo dos Volumes e Parcelas da União (SDP). </w:t>
      </w:r>
    </w:p>
    <w:p w14:paraId="4B5E7918" w14:textId="77777777" w:rsidR="00244CA1" w:rsidRPr="00F01AE3" w:rsidRDefault="00244CA1" w:rsidP="00CD2415">
      <w:pPr>
        <w:spacing w:line="360" w:lineRule="auto"/>
        <w:ind w:left="1416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A gestão do saldo devedor deve considerar as informações da eventual diferença de tributos da venda da parcela de óleo e gás natural devida pela União, de forma iterativa, até que o saldo seja liquidado.</w:t>
      </w:r>
    </w:p>
    <w:p w14:paraId="02586324" w14:textId="21C20A62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t xml:space="preserve">Auditoria – Atividades 36 a 43, ilustradas no Padrão de Processo (Anexo I): </w:t>
      </w:r>
    </w:p>
    <w:p w14:paraId="13E01241" w14:textId="411C97A6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Após a elaboração da NT de consolidação das análises dos cálculos da equalização (EGV), a GE dos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finaliza o EGV via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avaliando a necessidade de realização de auditoria. Sendo identificada a necessidade, a C</w:t>
      </w:r>
      <w:r w:rsidR="008F2022" w:rsidRPr="00F01AE3">
        <w:rPr>
          <w:rFonts w:asciiTheme="minorHAnsi" w:hAnsiTheme="minorHAnsi" w:cstheme="minorHAnsi"/>
          <w:sz w:val="22"/>
          <w:szCs w:val="22"/>
        </w:rPr>
        <w:t>G</w:t>
      </w:r>
      <w:r w:rsidRPr="00F01AE3">
        <w:rPr>
          <w:rFonts w:asciiTheme="minorHAnsi" w:hAnsiTheme="minorHAnsi" w:cstheme="minorHAnsi"/>
          <w:sz w:val="22"/>
          <w:szCs w:val="22"/>
        </w:rPr>
        <w:t>F é acionada para que solicite à Assessoria Especial de Fiscalização que proceda com o processo de auditoria.</w:t>
      </w:r>
    </w:p>
    <w:p w14:paraId="1629079B" w14:textId="3592BD2B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 Assessoria Especial de Fiscalização deve providenciar e acompanhar a realização da auditoria e caso sejam identificadas divergências, deve realizar uma reunião interna para discussão dos pontos e solicitar esclarecimentos ao Operador via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. Do contrário, deve liberar o EGV auditado para a GE de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para que o EGV possa ser finalizado. Eventuais ajustes decorrentes do processo de auditoria podem gerar saldo credor ou devedor para a União, e se aplicam, neste caso, as etapas descritas no item </w:t>
      </w:r>
      <w:r w:rsidR="005F1A77" w:rsidRPr="00F01AE3">
        <w:rPr>
          <w:rFonts w:asciiTheme="minorHAnsi" w:hAnsiTheme="minorHAnsi" w:cstheme="minorHAnsi"/>
          <w:sz w:val="22"/>
          <w:szCs w:val="22"/>
        </w:rPr>
        <w:fldChar w:fldCharType="begin"/>
      </w:r>
      <w:r w:rsidR="005F1A77" w:rsidRPr="00F01AE3">
        <w:rPr>
          <w:rFonts w:asciiTheme="minorHAnsi" w:hAnsiTheme="minorHAnsi" w:cstheme="minorHAnsi"/>
          <w:sz w:val="22"/>
          <w:szCs w:val="22"/>
        </w:rPr>
        <w:instrText xml:space="preserve"> REF _Ref487720143 \r \h </w:instrText>
      </w:r>
      <w:r w:rsidR="00F01AE3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5F1A77" w:rsidRPr="00F01AE3">
        <w:rPr>
          <w:rFonts w:asciiTheme="minorHAnsi" w:hAnsiTheme="minorHAnsi" w:cstheme="minorHAnsi"/>
          <w:sz w:val="22"/>
          <w:szCs w:val="22"/>
        </w:rPr>
      </w:r>
      <w:r w:rsidR="005F1A77" w:rsidRPr="00F01AE3">
        <w:rPr>
          <w:rFonts w:asciiTheme="minorHAnsi" w:hAnsiTheme="minorHAnsi" w:cstheme="minorHAnsi"/>
          <w:sz w:val="22"/>
          <w:szCs w:val="22"/>
        </w:rPr>
        <w:fldChar w:fldCharType="separate"/>
      </w:r>
      <w:r w:rsidR="005F1A77" w:rsidRPr="00F01AE3">
        <w:rPr>
          <w:rFonts w:asciiTheme="minorHAnsi" w:hAnsiTheme="minorHAnsi" w:cstheme="minorHAnsi"/>
          <w:sz w:val="22"/>
          <w:szCs w:val="22"/>
        </w:rPr>
        <w:t>6.3.9</w:t>
      </w:r>
      <w:r w:rsidR="005F1A77" w:rsidRPr="00F01AE3">
        <w:rPr>
          <w:rFonts w:asciiTheme="minorHAnsi" w:hAnsiTheme="minorHAnsi" w:cstheme="minorHAnsi"/>
          <w:sz w:val="22"/>
          <w:szCs w:val="22"/>
        </w:rPr>
        <w:fldChar w:fldCharType="end"/>
      </w:r>
      <w:r w:rsidRPr="00F01AE3">
        <w:rPr>
          <w:rFonts w:asciiTheme="minorHAnsi" w:hAnsiTheme="minorHAnsi" w:cstheme="minorHAnsi"/>
          <w:sz w:val="22"/>
          <w:szCs w:val="22"/>
        </w:rPr>
        <w:t>.</w:t>
      </w:r>
    </w:p>
    <w:p w14:paraId="3F15946F" w14:textId="77777777" w:rsidR="00A0745E" w:rsidRPr="00F01AE3" w:rsidRDefault="00A0745E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F01AE3">
        <w:rPr>
          <w:b/>
          <w:sz w:val="22"/>
          <w:szCs w:val="22"/>
        </w:rPr>
        <w:br w:type="page"/>
      </w:r>
    </w:p>
    <w:p w14:paraId="39EC38F9" w14:textId="77777777" w:rsidR="00244CA1" w:rsidRPr="00F01AE3" w:rsidRDefault="00244CA1" w:rsidP="00CD2415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F01AE3">
        <w:rPr>
          <w:b/>
          <w:sz w:val="22"/>
          <w:szCs w:val="22"/>
        </w:rPr>
        <w:lastRenderedPageBreak/>
        <w:t>Finalização do EGV – Atividades 44 a 46, ilustradas no Padrão de Processo (Anexo I):</w:t>
      </w:r>
    </w:p>
    <w:p w14:paraId="36526959" w14:textId="77777777" w:rsidR="00244CA1" w:rsidRPr="00F01AE3" w:rsidRDefault="00244CA1" w:rsidP="00CD241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Após as análises de auditoria externa, a GE</w:t>
      </w:r>
      <w:r w:rsidR="00CD2415" w:rsidRPr="00F01AE3">
        <w:rPr>
          <w:rFonts w:asciiTheme="minorHAnsi" w:hAnsiTheme="minorHAnsi" w:cstheme="minorHAnsi"/>
          <w:sz w:val="22"/>
          <w:szCs w:val="22"/>
        </w:rPr>
        <w:t xml:space="preserve"> dos </w:t>
      </w:r>
      <w:proofErr w:type="spellStart"/>
      <w:r w:rsidR="00CD2415"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="00CD2415" w:rsidRPr="00F01AE3">
        <w:rPr>
          <w:rFonts w:asciiTheme="minorHAnsi" w:hAnsiTheme="minorHAnsi" w:cstheme="minorHAnsi"/>
          <w:sz w:val="22"/>
          <w:szCs w:val="22"/>
        </w:rPr>
        <w:t xml:space="preserve"> deve ratificar o EGV </w:t>
      </w:r>
      <w:r w:rsidRPr="00F01AE3">
        <w:rPr>
          <w:rFonts w:asciiTheme="minorHAnsi" w:hAnsiTheme="minorHAnsi" w:cstheme="minorHAnsi"/>
          <w:sz w:val="22"/>
          <w:szCs w:val="22"/>
        </w:rPr>
        <w:t>e enviar à Diretoria de Gestão dos Contratos, que por sua vez deve preparar a Proposta de Resolução da Diretoria (PRD) com EGV e submeter à DE (para conhecimento ou aprovação, quando necessário).</w:t>
      </w:r>
    </w:p>
    <w:p w14:paraId="12A03A5A" w14:textId="77777777" w:rsidR="00F43A06" w:rsidRPr="00F01AE3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5" w:name="_Toc492663144"/>
      <w:r w:rsidRPr="00F01AE3">
        <w:rPr>
          <w:b/>
          <w:sz w:val="22"/>
          <w:szCs w:val="22"/>
        </w:rPr>
        <w:t>Monitoramento do Processo</w:t>
      </w:r>
      <w:bookmarkEnd w:id="15"/>
    </w:p>
    <w:p w14:paraId="27EB38F5" w14:textId="77777777" w:rsidR="00F43A06" w:rsidRPr="00F01AE3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F01AE3">
        <w:rPr>
          <w:b/>
          <w:sz w:val="22"/>
          <w:szCs w:val="22"/>
        </w:rPr>
        <w:t>Monitoramento Gerencial (Indicadores de Performance do Processo):</w:t>
      </w:r>
    </w:p>
    <w:p w14:paraId="05F4D391" w14:textId="77777777" w:rsidR="00183ED0" w:rsidRPr="00F01AE3" w:rsidRDefault="00183ED0" w:rsidP="00183ED0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 Processo de Equalização de Gastos e Volumes deve ser suportado por Indicadores de Performance do Processo, conforme 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14:paraId="1C651CDF" w14:textId="77777777" w:rsidR="00183ED0" w:rsidRPr="00F01AE3" w:rsidRDefault="00183ED0" w:rsidP="00183ED0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Analista responsável pela gestão dos indicadores na Gerência Executiva dos </w:t>
      </w:r>
      <w:proofErr w:type="spellStart"/>
      <w:r w:rsidRPr="00F01AE3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F01AE3">
        <w:rPr>
          <w:rFonts w:asciiTheme="minorHAnsi" w:hAnsiTheme="minorHAnsi" w:cstheme="minorHAnsi"/>
          <w:sz w:val="22"/>
          <w:szCs w:val="22"/>
        </w:rPr>
        <w:t xml:space="preserve"> deve gerar os indicadores e enviá-los via e-mail para análise do Comitê Executivo e do Comitê de Especialistas;</w:t>
      </w:r>
    </w:p>
    <w:p w14:paraId="6E115D84" w14:textId="77777777" w:rsidR="00183ED0" w:rsidRPr="00F01AE3" w:rsidRDefault="00183ED0" w:rsidP="00183ED0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Comitê Executivo e Comitê de Especialistas devem avaliar os indicadores gerados para cada processo em reunião e aprovar o envio ao Comitê Diretivo; e</w:t>
      </w:r>
    </w:p>
    <w:p w14:paraId="2B3D8E3C" w14:textId="77777777" w:rsidR="00183ED0" w:rsidRPr="00F01AE3" w:rsidRDefault="00183ED0" w:rsidP="00183ED0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 xml:space="preserve">Comitê Diretivo e Comitê Executivo devem avaliar os resultados em reunião e elaborar plano de ação para os desvios apresentados. Arquivar resultados no </w:t>
      </w:r>
      <w:r w:rsidR="00A0745E" w:rsidRPr="00F01AE3">
        <w:rPr>
          <w:rFonts w:asciiTheme="minorHAnsi" w:hAnsiTheme="minorHAnsi" w:cstheme="minorHAnsi"/>
          <w:sz w:val="22"/>
          <w:szCs w:val="22"/>
        </w:rPr>
        <w:t>SGPP</w:t>
      </w:r>
      <w:r w:rsidRPr="00F01AE3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14:paraId="7386623E" w14:textId="77777777" w:rsidR="00183ED0" w:rsidRPr="00F01AE3" w:rsidRDefault="00183ED0" w:rsidP="005F1A77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F01AE3">
        <w:rPr>
          <w:rFonts w:asciiTheme="minorHAnsi" w:hAnsiTheme="minorHAnsi" w:cstheme="minorHAnsi"/>
          <w:sz w:val="22"/>
          <w:szCs w:val="22"/>
        </w:rPr>
        <w:t>Os indicadores (detalhados no Anexo III deste documento) previstos para o processo de Equalização de Gastos e Volume são:</w:t>
      </w:r>
    </w:p>
    <w:p w14:paraId="0573EB8C" w14:textId="77777777" w:rsidR="00183ED0" w:rsidRPr="00F01AE3" w:rsidRDefault="00183ED0" w:rsidP="005F1A77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1AE3">
        <w:rPr>
          <w:rFonts w:asciiTheme="minorHAnsi" w:hAnsiTheme="minorHAnsi" w:cstheme="minorHAnsi"/>
          <w:color w:val="000000" w:themeColor="text1"/>
          <w:sz w:val="22"/>
          <w:szCs w:val="22"/>
        </w:rPr>
        <w:t>Saldo da União pelo EGV</w:t>
      </w:r>
    </w:p>
    <w:p w14:paraId="4B20199F" w14:textId="7484674B" w:rsidR="00183ED0" w:rsidRPr="00F01AE3" w:rsidRDefault="00183ED0" w:rsidP="005F1A77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1AE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# Pontos de EGV indicados para auditoria </w:t>
      </w:r>
    </w:p>
    <w:p w14:paraId="2983D8B5" w14:textId="48A2BD89" w:rsidR="00F43A06" w:rsidRPr="00F01AE3" w:rsidRDefault="00FA1EAF" w:rsidP="00FA1EAF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6" w:name="_Toc492663145"/>
      <w:r w:rsidRPr="00F01AE3">
        <w:rPr>
          <w:b/>
          <w:sz w:val="22"/>
          <w:szCs w:val="22"/>
        </w:rPr>
        <w:t>Prazos</w:t>
      </w:r>
      <w:bookmarkEnd w:id="16"/>
    </w:p>
    <w:p w14:paraId="59E240FD" w14:textId="60AF937A" w:rsidR="00FA1EAF" w:rsidRPr="00F01AE3" w:rsidRDefault="00FA1EAF" w:rsidP="00FA1EAF">
      <w:pPr>
        <w:spacing w:line="360" w:lineRule="auto"/>
        <w:ind w:left="641" w:firstLine="289"/>
        <w:jc w:val="both"/>
        <w:rPr>
          <w:rFonts w:asciiTheme="minorHAnsi" w:hAnsiTheme="minorHAnsi" w:cstheme="minorHAnsi"/>
          <w:sz w:val="22"/>
          <w:szCs w:val="22"/>
        </w:rPr>
        <w:sectPr w:rsidR="00FA1EAF" w:rsidRPr="00F01AE3" w:rsidSect="00042F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F01AE3">
        <w:rPr>
          <w:rFonts w:asciiTheme="minorHAnsi" w:hAnsiTheme="minorHAnsi" w:cstheme="minorHAnsi"/>
          <w:sz w:val="22"/>
          <w:szCs w:val="22"/>
        </w:rPr>
        <w:t>Os prazos a serem cumpridos são aqueles normalmente definidos em cada EGV específico, no AIP, no Acordo de Gestão ou na reunião mencionada no item 6.3</w:t>
      </w:r>
    </w:p>
    <w:p w14:paraId="421D5977" w14:textId="61309FB7" w:rsidR="007254CF" w:rsidRPr="00CD2415" w:rsidRDefault="007254CF" w:rsidP="007254CF">
      <w:pPr>
        <w:pStyle w:val="Style1"/>
        <w:rPr>
          <w:b/>
        </w:rPr>
      </w:pPr>
      <w:bookmarkStart w:id="17" w:name="_Toc492663146"/>
      <w:r w:rsidRPr="00F01AE3">
        <w:rPr>
          <w:b/>
          <w:sz w:val="22"/>
          <w:szCs w:val="22"/>
        </w:rPr>
        <w:lastRenderedPageBreak/>
        <w:t>Índice de Revisões</w:t>
      </w:r>
      <w:bookmarkEnd w:id="17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FA1EAF" w:rsidRPr="00782700" w14:paraId="5D5D3F69" w14:textId="77777777" w:rsidTr="00FA1EAF">
        <w:trPr>
          <w:jc w:val="center"/>
        </w:trPr>
        <w:tc>
          <w:tcPr>
            <w:tcW w:w="9352" w:type="dxa"/>
            <w:gridSpan w:val="11"/>
          </w:tcPr>
          <w:p w14:paraId="2C79F29D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FA1EAF" w:rsidRPr="00C85FAF" w14:paraId="4982C2F4" w14:textId="77777777" w:rsidTr="00FA1EAF">
        <w:trPr>
          <w:jc w:val="center"/>
        </w:trPr>
        <w:tc>
          <w:tcPr>
            <w:tcW w:w="732" w:type="dxa"/>
          </w:tcPr>
          <w:p w14:paraId="5D5678D5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14:paraId="59666D7A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FA1EAF" w:rsidRPr="00C85FAF" w14:paraId="6DBE807C" w14:textId="77777777" w:rsidTr="00FA1EAF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14:paraId="387DD81E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14:paraId="4ED8C9B2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FA1EAF" w:rsidRPr="00C85FAF" w14:paraId="7A668F2E" w14:textId="77777777" w:rsidTr="00FA1EAF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054188C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753E844E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A1EAF" w:rsidRPr="00C85FAF" w14:paraId="3112AC29" w14:textId="77777777" w:rsidTr="00FA1EAF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B8FD8D0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687D7C33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A1EAF" w:rsidRPr="00C85FAF" w14:paraId="0A8EAAE3" w14:textId="77777777" w:rsidTr="00FA1EAF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34636F7F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65B9235E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A1EAF" w:rsidRPr="00C85FAF" w14:paraId="27737116" w14:textId="77777777" w:rsidTr="00FA1EAF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1E3E82DC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5F2EF4D5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A1EAF" w:rsidRPr="00C85FAF" w14:paraId="7916EEFB" w14:textId="77777777" w:rsidTr="00FA1EAF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14:paraId="12C62D71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14:paraId="57C9F05C" w14:textId="77777777" w:rsidR="00FA1EAF" w:rsidRPr="00C85FAF" w:rsidRDefault="00FA1EAF" w:rsidP="00FA1EA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A1EAF" w:rsidRPr="00C85FAF" w14:paraId="2B701239" w14:textId="77777777" w:rsidTr="00FA1EAF">
        <w:trPr>
          <w:jc w:val="center"/>
        </w:trPr>
        <w:tc>
          <w:tcPr>
            <w:tcW w:w="1584" w:type="dxa"/>
            <w:gridSpan w:val="2"/>
            <w:vAlign w:val="center"/>
          </w:tcPr>
          <w:p w14:paraId="7FDB1328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127AEF07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14:paraId="11309F03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14:paraId="1150E3CD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14:paraId="673FDB4E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14:paraId="17CD2325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14:paraId="33C9F3D2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14:paraId="659B8DA9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14:paraId="1B968C73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14:paraId="7996DB82" w14:textId="77777777" w:rsidR="00FA1EAF" w:rsidRPr="00C85FAF" w:rsidRDefault="00FA1EAF" w:rsidP="00FA1E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FA1EAF" w:rsidRPr="00C85FAF" w14:paraId="0C80E120" w14:textId="77777777" w:rsidTr="00FA1EAF">
        <w:trPr>
          <w:jc w:val="center"/>
        </w:trPr>
        <w:tc>
          <w:tcPr>
            <w:tcW w:w="1584" w:type="dxa"/>
            <w:gridSpan w:val="2"/>
            <w:vAlign w:val="center"/>
          </w:tcPr>
          <w:p w14:paraId="0577E243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14:paraId="632FD7BD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3D745EBA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3462E315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50AE6A7B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4E37BFF5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4BCBFA96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6B592B80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56E6B3A0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6B85F124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A1EAF" w:rsidRPr="00C85FAF" w14:paraId="7B9EA705" w14:textId="77777777" w:rsidTr="00FA1EAF">
        <w:trPr>
          <w:jc w:val="center"/>
        </w:trPr>
        <w:tc>
          <w:tcPr>
            <w:tcW w:w="1584" w:type="dxa"/>
            <w:gridSpan w:val="2"/>
            <w:vAlign w:val="center"/>
          </w:tcPr>
          <w:p w14:paraId="47494398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14:paraId="60B2F62F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4C9B4C5B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7CCD0C62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6160F6D2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5FE9D3CB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286EF61A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43E417BD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206F94C4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73AAD447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A1EAF" w:rsidRPr="00C85FAF" w14:paraId="6449D5F9" w14:textId="77777777" w:rsidTr="00FA1EAF">
        <w:trPr>
          <w:jc w:val="center"/>
        </w:trPr>
        <w:tc>
          <w:tcPr>
            <w:tcW w:w="1584" w:type="dxa"/>
            <w:gridSpan w:val="2"/>
            <w:vAlign w:val="center"/>
          </w:tcPr>
          <w:p w14:paraId="107A5525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14:paraId="40211654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50625C99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68872961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244B593D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79AB3B52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390FA18A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27B50293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66309A44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719B0CE0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A1EAF" w:rsidRPr="00C85FAF" w14:paraId="3959254E" w14:textId="77777777" w:rsidTr="00FA1EAF">
        <w:trPr>
          <w:jc w:val="center"/>
        </w:trPr>
        <w:tc>
          <w:tcPr>
            <w:tcW w:w="1584" w:type="dxa"/>
            <w:gridSpan w:val="2"/>
            <w:vAlign w:val="center"/>
          </w:tcPr>
          <w:p w14:paraId="7FA2A12C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14:paraId="1D0E0E85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3F4FCFC5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73E28F08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55961746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7A07AB86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134C1E61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6A363BE3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14:paraId="3DA46CB3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67EAE4D1" w14:textId="77777777" w:rsidR="00FA1EAF" w:rsidRPr="00C85FAF" w:rsidRDefault="00FA1EAF" w:rsidP="00FA1EA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32F517A" w14:textId="7C59DB75" w:rsidR="00502A6A" w:rsidRPr="00FA1EAF" w:rsidRDefault="00F43A06" w:rsidP="00FA1EAF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</w:rPr>
        <w:sectPr w:rsidR="00502A6A" w:rsidRPr="00FA1EAF" w:rsidSect="00FA1EAF">
          <w:footerReference w:type="default" r:id="rId15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CD2415">
        <w:rPr>
          <w:rFonts w:asciiTheme="minorHAnsi" w:hAnsiTheme="minorHAnsi" w:cstheme="minorHAnsi"/>
        </w:rPr>
        <w:br w:type="page"/>
      </w:r>
    </w:p>
    <w:p w14:paraId="79559D8B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6489D0CF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52A3DD68" w14:textId="77777777" w:rsidR="00FA1EAF" w:rsidRDefault="00FA1EAF" w:rsidP="00FA1EAF">
      <w:pPr>
        <w:pStyle w:val="Style1"/>
        <w:numPr>
          <w:ilvl w:val="0"/>
          <w:numId w:val="0"/>
        </w:numPr>
        <w:ind w:left="638" w:hanging="360"/>
        <w:rPr>
          <w:b/>
          <w:sz w:val="22"/>
        </w:rPr>
      </w:pPr>
    </w:p>
    <w:p w14:paraId="71C5873C" w14:textId="77777777" w:rsidR="00FA1EAF" w:rsidRPr="00FA1EAF" w:rsidRDefault="00484A4B" w:rsidP="00FA1EAF">
      <w:pPr>
        <w:pStyle w:val="Style1"/>
        <w:rPr>
          <w:b/>
          <w:sz w:val="22"/>
        </w:rPr>
      </w:pPr>
      <w:bookmarkStart w:id="18" w:name="_Toc492663147"/>
      <w:r w:rsidRPr="00FA1EAF">
        <w:rPr>
          <w:b/>
          <w:sz w:val="22"/>
        </w:rPr>
        <w:t>Anexo</w:t>
      </w:r>
      <w:r w:rsidR="00FA1EAF" w:rsidRPr="00FA1EAF">
        <w:rPr>
          <w:b/>
          <w:sz w:val="22"/>
        </w:rPr>
        <w:t>s</w:t>
      </w:r>
      <w:bookmarkEnd w:id="18"/>
    </w:p>
    <w:p w14:paraId="5F018018" w14:textId="6F319E76" w:rsidR="00484A4B" w:rsidRPr="00FA1EAF" w:rsidRDefault="00FD736E" w:rsidP="00FA1EAF">
      <w:pPr>
        <w:pStyle w:val="Style2"/>
        <w:numPr>
          <w:ilvl w:val="1"/>
          <w:numId w:val="2"/>
        </w:numPr>
        <w:spacing w:after="120"/>
        <w:ind w:left="1072" w:hanging="431"/>
        <w:rPr>
          <w:b/>
          <w:sz w:val="22"/>
        </w:rPr>
      </w:pPr>
      <w:bookmarkStart w:id="19" w:name="_Toc492663148"/>
      <w:r>
        <w:rPr>
          <w:b/>
          <w:sz w:val="22"/>
        </w:rPr>
        <w:t xml:space="preserve">Anexo I - </w:t>
      </w:r>
      <w:r w:rsidR="00484A4B" w:rsidRPr="00FA1EAF">
        <w:rPr>
          <w:b/>
          <w:sz w:val="22"/>
        </w:rPr>
        <w:t>Padrão de Processo</w:t>
      </w:r>
      <w:bookmarkEnd w:id="19"/>
    </w:p>
    <w:p w14:paraId="579BEF1C" w14:textId="77777777" w:rsidR="002676C2" w:rsidRPr="00CD2415" w:rsidRDefault="00355C38" w:rsidP="00FA1EAF">
      <w:pPr>
        <w:rPr>
          <w:rFonts w:asciiTheme="minorHAnsi" w:hAnsiTheme="minorHAnsi" w:cstheme="minorHAnsi"/>
        </w:rPr>
      </w:pPr>
      <w:r w:rsidRPr="00CD2415">
        <w:rPr>
          <w:rFonts w:asciiTheme="minorHAnsi" w:hAnsiTheme="minorHAnsi" w:cstheme="minorHAnsi"/>
          <w:noProof/>
        </w:rPr>
        <w:drawing>
          <wp:inline distT="0" distB="0" distL="0" distR="0" wp14:anchorId="549E9A0B" wp14:editId="638889E3">
            <wp:extent cx="6972300" cy="3161641"/>
            <wp:effectExtent l="19050" t="19050" r="19050" b="203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255" cy="317341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430EF93" w14:textId="77777777" w:rsidR="00F113BE" w:rsidRPr="00CD2415" w:rsidRDefault="00244CA1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D2415">
        <w:rPr>
          <w:rFonts w:asciiTheme="minorHAnsi" w:hAnsiTheme="minorHAnsi" w:cstheme="minorHAnsi"/>
          <w:sz w:val="20"/>
          <w:szCs w:val="20"/>
        </w:rPr>
        <w:t xml:space="preserve">Figura 2: </w:t>
      </w:r>
      <w:r w:rsidR="002676C2" w:rsidRPr="00CD2415">
        <w:rPr>
          <w:rFonts w:asciiTheme="minorHAnsi" w:hAnsiTheme="minorHAnsi" w:cstheme="minorHAnsi"/>
          <w:sz w:val="20"/>
          <w:szCs w:val="20"/>
        </w:rPr>
        <w:t>Macrofluxograma do Processo</w:t>
      </w:r>
    </w:p>
    <w:p w14:paraId="34638B2F" w14:textId="3A963F67" w:rsidR="00985AAB" w:rsidRPr="00CD2415" w:rsidRDefault="00985AAB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69DF4710" w14:textId="77777777" w:rsidR="00F43A06" w:rsidRPr="00CD2415" w:rsidRDefault="00F43A06" w:rsidP="006009D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35B62B79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28AE81B2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49B2611B" w14:textId="5D990DE0" w:rsidR="00484A4B" w:rsidRPr="00FA1EAF" w:rsidRDefault="00FD736E" w:rsidP="00FA1EAF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663149"/>
      <w:r>
        <w:rPr>
          <w:b/>
          <w:sz w:val="22"/>
        </w:rPr>
        <w:t xml:space="preserve">Anexo II - </w:t>
      </w:r>
      <w:r w:rsidR="00484A4B" w:rsidRPr="00FA1EAF">
        <w:rPr>
          <w:b/>
          <w:sz w:val="22"/>
        </w:rPr>
        <w:t>Matriz de Papéis e Responsabilidades</w:t>
      </w:r>
      <w:bookmarkEnd w:id="20"/>
    </w:p>
    <w:p w14:paraId="5B4421AC" w14:textId="77777777" w:rsidR="00130A65" w:rsidRPr="00CD2415" w:rsidRDefault="00130A65" w:rsidP="00FA1EAF">
      <w:pPr>
        <w:rPr>
          <w:rFonts w:asciiTheme="minorHAnsi" w:hAnsiTheme="minorHAnsi" w:cstheme="minorHAnsi"/>
          <w:noProof/>
        </w:rPr>
      </w:pPr>
      <w:r w:rsidRPr="00CD2415">
        <w:rPr>
          <w:rFonts w:asciiTheme="minorHAnsi" w:hAnsiTheme="minorHAnsi" w:cstheme="minorHAnsi"/>
          <w:noProof/>
        </w:rPr>
        <w:drawing>
          <wp:inline distT="0" distB="0" distL="0" distR="0" wp14:anchorId="5ED935DE" wp14:editId="4DF465DB">
            <wp:extent cx="2586023" cy="3286125"/>
            <wp:effectExtent l="19050" t="19050" r="2413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74" cy="330512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FCCADA8" w14:textId="77777777" w:rsidR="00130A65" w:rsidRPr="00CD2415" w:rsidRDefault="00244CA1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D2415">
        <w:rPr>
          <w:rFonts w:asciiTheme="minorHAnsi" w:hAnsiTheme="minorHAnsi" w:cstheme="minorHAnsi"/>
          <w:sz w:val="20"/>
          <w:szCs w:val="20"/>
        </w:rPr>
        <w:t>Figura 3:</w:t>
      </w:r>
      <w:r w:rsidR="00502A6A" w:rsidRPr="00CD2415">
        <w:rPr>
          <w:rFonts w:asciiTheme="minorHAnsi" w:hAnsiTheme="minorHAnsi" w:cstheme="minorHAnsi"/>
          <w:sz w:val="20"/>
          <w:szCs w:val="20"/>
        </w:rPr>
        <w:t xml:space="preserve"> Matriz d</w:t>
      </w:r>
      <w:r w:rsidR="002676C2" w:rsidRPr="00CD2415">
        <w:rPr>
          <w:rFonts w:asciiTheme="minorHAnsi" w:hAnsiTheme="minorHAnsi" w:cstheme="minorHAnsi"/>
          <w:sz w:val="20"/>
          <w:szCs w:val="20"/>
        </w:rPr>
        <w:t>e Papéis e Responsabilidades</w:t>
      </w:r>
      <w:r w:rsidR="00C655D0" w:rsidRPr="00CD2415">
        <w:rPr>
          <w:rFonts w:asciiTheme="minorHAnsi" w:hAnsiTheme="minorHAnsi" w:cstheme="minorHAnsi"/>
          <w:sz w:val="20"/>
          <w:szCs w:val="20"/>
        </w:rPr>
        <w:t xml:space="preserve"> do Processo</w:t>
      </w:r>
    </w:p>
    <w:p w14:paraId="4A2EEEA1" w14:textId="310B20B8" w:rsidR="00821A62" w:rsidRPr="00CD2415" w:rsidRDefault="00821A62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05858636" w14:textId="77777777" w:rsidR="006009D6" w:rsidRPr="00CD2415" w:rsidRDefault="006009D6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6E7A726C" w14:textId="77777777" w:rsidR="00F113BE" w:rsidRPr="00CD2415" w:rsidRDefault="00F113BE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6A848AE6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79D18885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766F56E4" w14:textId="04044D2D" w:rsidR="00484A4B" w:rsidRPr="00FA1EAF" w:rsidRDefault="00FD736E" w:rsidP="00FA1EAF">
      <w:pPr>
        <w:pStyle w:val="Style2"/>
        <w:numPr>
          <w:ilvl w:val="1"/>
          <w:numId w:val="2"/>
        </w:numPr>
        <w:rPr>
          <w:b/>
          <w:sz w:val="22"/>
        </w:rPr>
      </w:pPr>
      <w:bookmarkStart w:id="21" w:name="_Toc492663150"/>
      <w:r>
        <w:rPr>
          <w:b/>
          <w:sz w:val="22"/>
        </w:rPr>
        <w:t>Anexo III - I</w:t>
      </w:r>
      <w:r w:rsidR="00484A4B" w:rsidRPr="00FA1EAF">
        <w:rPr>
          <w:b/>
          <w:sz w:val="22"/>
        </w:rPr>
        <w:t>ndicadores de Performance do Processo</w:t>
      </w:r>
      <w:bookmarkEnd w:id="21"/>
    </w:p>
    <w:p w14:paraId="28655D58" w14:textId="77777777" w:rsidR="00130A65" w:rsidRPr="00CD2415" w:rsidRDefault="00130A65" w:rsidP="00FA1EAF">
      <w:pPr>
        <w:rPr>
          <w:rFonts w:asciiTheme="minorHAnsi" w:hAnsiTheme="minorHAnsi" w:cstheme="minorHAnsi"/>
        </w:rPr>
      </w:pPr>
      <w:r w:rsidRPr="00CD2415">
        <w:rPr>
          <w:rFonts w:asciiTheme="minorHAnsi" w:hAnsiTheme="minorHAnsi" w:cstheme="minorHAnsi"/>
          <w:noProof/>
        </w:rPr>
        <w:drawing>
          <wp:inline distT="0" distB="0" distL="0" distR="0" wp14:anchorId="6EEA6246" wp14:editId="30C9111D">
            <wp:extent cx="9320530" cy="991664"/>
            <wp:effectExtent l="19050" t="19050" r="13970" b="18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9916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3BABDD4" w14:textId="77777777" w:rsidR="00C655D0" w:rsidRPr="00CD2415" w:rsidRDefault="00244CA1" w:rsidP="00C655D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D2415">
        <w:rPr>
          <w:rFonts w:asciiTheme="minorHAnsi" w:hAnsiTheme="minorHAnsi" w:cstheme="minorHAnsi"/>
          <w:sz w:val="20"/>
          <w:szCs w:val="20"/>
        </w:rPr>
        <w:t>Figura 4:</w:t>
      </w:r>
      <w:r w:rsidR="00C655D0" w:rsidRPr="00CD2415">
        <w:rPr>
          <w:rFonts w:asciiTheme="minorHAnsi" w:hAnsiTheme="minorHAnsi" w:cstheme="minorHAnsi"/>
          <w:sz w:val="20"/>
          <w:szCs w:val="20"/>
        </w:rPr>
        <w:t xml:space="preserve"> Indicadores de Performance do Processo</w:t>
      </w:r>
    </w:p>
    <w:p w14:paraId="3E114515" w14:textId="12F30591" w:rsidR="00821A62" w:rsidRPr="00CD2415" w:rsidRDefault="00821A62" w:rsidP="00C655D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7941304" w14:textId="77777777" w:rsidR="00F43A06" w:rsidRPr="00CD2415" w:rsidRDefault="00F43A06" w:rsidP="00C655D0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</w:rPr>
      </w:pPr>
      <w:r w:rsidRPr="00CD2415">
        <w:rPr>
          <w:rFonts w:asciiTheme="minorHAnsi" w:hAnsiTheme="minorHAnsi" w:cstheme="minorHAnsi"/>
        </w:rPr>
        <w:br w:type="page"/>
      </w:r>
    </w:p>
    <w:p w14:paraId="46AA58DE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10202361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3BF9F4D7" w14:textId="77777777" w:rsidR="00502A6A" w:rsidRPr="00CD2415" w:rsidRDefault="00502A6A" w:rsidP="007254CF">
      <w:pPr>
        <w:pStyle w:val="Style1"/>
        <w:numPr>
          <w:ilvl w:val="0"/>
          <w:numId w:val="0"/>
        </w:numPr>
      </w:pPr>
    </w:p>
    <w:p w14:paraId="7F32A335" w14:textId="34116F05" w:rsidR="00484A4B" w:rsidRPr="00FA1EAF" w:rsidRDefault="00FD736E" w:rsidP="00FA1EAF">
      <w:pPr>
        <w:pStyle w:val="Style2"/>
        <w:numPr>
          <w:ilvl w:val="1"/>
          <w:numId w:val="2"/>
        </w:numPr>
        <w:rPr>
          <w:b/>
          <w:sz w:val="22"/>
        </w:rPr>
      </w:pPr>
      <w:bookmarkStart w:id="22" w:name="_Toc492663151"/>
      <w:r>
        <w:rPr>
          <w:b/>
          <w:sz w:val="22"/>
        </w:rPr>
        <w:t xml:space="preserve">Anexo IV - </w:t>
      </w:r>
      <w:r w:rsidR="00484A4B" w:rsidRPr="00FA1EAF">
        <w:rPr>
          <w:b/>
          <w:sz w:val="22"/>
        </w:rPr>
        <w:t>Mapa de Interface dos Processos</w:t>
      </w:r>
      <w:bookmarkEnd w:id="22"/>
    </w:p>
    <w:p w14:paraId="5AA0E5CA" w14:textId="77777777" w:rsidR="00D91CEC" w:rsidRDefault="00D91CEC" w:rsidP="00FA1EAF">
      <w:pPr>
        <w:rPr>
          <w:rFonts w:ascii="Univers for KPMG" w:hAnsi="Univers for KPMG"/>
        </w:rPr>
      </w:pPr>
      <w:r>
        <w:rPr>
          <w:rFonts w:ascii="Univers for KPMG" w:hAnsi="Univers for KPMG"/>
          <w:noProof/>
        </w:rPr>
        <w:drawing>
          <wp:inline distT="0" distB="0" distL="0" distR="0" wp14:anchorId="74C56DB9" wp14:editId="550F4CA4">
            <wp:extent cx="6840543" cy="3095625"/>
            <wp:effectExtent l="19050" t="19050" r="1778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02" cy="31251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99C5910" w14:textId="4CE2AC7A" w:rsidR="00D91CEC" w:rsidRPr="002B5BA3" w:rsidRDefault="00D91CEC" w:rsidP="00D91CEC">
      <w:pPr>
        <w:pStyle w:val="Body"/>
        <w:spacing w:before="0" w:line="240" w:lineRule="auto"/>
        <w:rPr>
          <w:rFonts w:eastAsia="Times New Roman" w:cstheme="minorHAnsi"/>
          <w:sz w:val="20"/>
          <w:szCs w:val="20"/>
          <w:lang w:eastAsia="pt-BR"/>
        </w:rPr>
      </w:pPr>
      <w:r w:rsidRPr="002B5BA3">
        <w:rPr>
          <w:rFonts w:cstheme="minorHAnsi"/>
          <w:sz w:val="20"/>
          <w:szCs w:val="20"/>
        </w:rPr>
        <w:t xml:space="preserve">Figura </w:t>
      </w:r>
      <w:r>
        <w:rPr>
          <w:rFonts w:cstheme="minorHAnsi"/>
          <w:sz w:val="20"/>
          <w:szCs w:val="20"/>
        </w:rPr>
        <w:t>5</w:t>
      </w:r>
      <w:r w:rsidRPr="002B5BA3">
        <w:rPr>
          <w:rFonts w:cstheme="minorHAnsi"/>
          <w:sz w:val="20"/>
          <w:szCs w:val="20"/>
        </w:rPr>
        <w:t>: Mapa de Interface dos Processos</w:t>
      </w:r>
    </w:p>
    <w:p w14:paraId="063F86A4" w14:textId="10295389" w:rsidR="006009D6" w:rsidRPr="00A0745E" w:rsidRDefault="006009D6" w:rsidP="00D91CEC">
      <w:pPr>
        <w:pStyle w:val="Body"/>
        <w:spacing w:line="360" w:lineRule="auto"/>
        <w:rPr>
          <w:rFonts w:eastAsia="Times New Roman" w:cstheme="minorHAnsi"/>
          <w:sz w:val="24"/>
          <w:szCs w:val="24"/>
          <w:lang w:eastAsia="pt-BR"/>
        </w:rPr>
      </w:pPr>
      <w:bookmarkStart w:id="23" w:name="_GoBack"/>
      <w:bookmarkEnd w:id="23"/>
    </w:p>
    <w:sectPr w:rsidR="006009D6" w:rsidRPr="00A0745E" w:rsidSect="00042F73">
      <w:footerReference w:type="default" r:id="rId20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D41043" w16cid:durableId="1D51CDC0"/>
  <w16cid:commentId w16cid:paraId="08F045E1" w16cid:durableId="1D51CEAA"/>
  <w16cid:commentId w16cid:paraId="14CBBEF4" w16cid:durableId="1D51CF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0191F" w14:textId="77777777" w:rsidR="00146C78" w:rsidRDefault="00146C78" w:rsidP="008D2702">
      <w:r>
        <w:separator/>
      </w:r>
    </w:p>
  </w:endnote>
  <w:endnote w:type="continuationSeparator" w:id="0">
    <w:p w14:paraId="102AA27E" w14:textId="77777777" w:rsidR="00146C78" w:rsidRDefault="00146C78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4B191" w14:textId="77777777" w:rsidR="003142A7" w:rsidRDefault="003142A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0DD99" w14:textId="77777777" w:rsidR="00FA1EAF" w:rsidRPr="006E4A1B" w:rsidRDefault="00FA1EAF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18</w:t>
    </w:r>
    <w:r w:rsidRPr="006E4A1B">
      <w:rPr>
        <w:rFonts w:asciiTheme="minorHAnsi" w:hAnsiTheme="minorHAnsi"/>
        <w:sz w:val="20"/>
      </w:rPr>
      <w:fldChar w:fldCharType="end"/>
    </w:r>
  </w:p>
  <w:p w14:paraId="2FC1F8F8" w14:textId="77777777" w:rsidR="00FA1EAF" w:rsidRDefault="00FA1EA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03D69" w14:textId="77777777" w:rsidR="003142A7" w:rsidRDefault="003142A7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3142A7" w14:paraId="42D03B15" w14:textId="77777777" w:rsidTr="006E53DC">
      <w:trPr>
        <w:jc w:val="center"/>
      </w:trPr>
      <w:tc>
        <w:tcPr>
          <w:tcW w:w="2879" w:type="dxa"/>
        </w:tcPr>
        <w:p w14:paraId="03F21988" w14:textId="77777777" w:rsidR="003142A7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14:paraId="79CA27C8" w14:textId="77777777" w:rsidR="003142A7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14:paraId="5B651865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Ricardo Loureiro</w:t>
          </w:r>
        </w:p>
        <w:p w14:paraId="5065B488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Gerente Executivo de Contratos</w:t>
          </w:r>
        </w:p>
      </w:tc>
      <w:tc>
        <w:tcPr>
          <w:tcW w:w="2879" w:type="dxa"/>
        </w:tcPr>
        <w:p w14:paraId="68CB9713" w14:textId="77777777" w:rsidR="003142A7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14:paraId="656FB3A7" w14:textId="77777777" w:rsidR="003142A7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14:paraId="094C0243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  <w:lang w:eastAsia="en-US"/>
            </w:rPr>
          </w:pPr>
          <w:r>
            <w:rPr>
              <w:rFonts w:asciiTheme="minorHAnsi" w:hAnsiTheme="minorHAnsi"/>
              <w:sz w:val="20"/>
              <w:lang w:eastAsia="en-US"/>
            </w:rPr>
            <w:t>Mauro Rocha</w:t>
          </w:r>
        </w:p>
        <w:p w14:paraId="43FF69BB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  <w:lang w:eastAsia="en-US"/>
            </w:rPr>
            <w:t>Gerente de Controle e Finanças</w:t>
          </w:r>
        </w:p>
      </w:tc>
      <w:tc>
        <w:tcPr>
          <w:tcW w:w="2879" w:type="dxa"/>
        </w:tcPr>
        <w:p w14:paraId="3887F6E9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14:paraId="53182987" w14:textId="77777777" w:rsidR="003142A7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14:paraId="60FDF48F" w14:textId="77777777" w:rsidR="003142A7" w:rsidRDefault="003142A7" w:rsidP="003142A7">
          <w:pPr>
            <w:pStyle w:val="Rodap"/>
            <w:rPr>
              <w:rFonts w:asciiTheme="minorHAnsi" w:hAnsiTheme="minorHAnsi"/>
              <w:sz w:val="20"/>
            </w:rPr>
          </w:pPr>
          <w:r w:rsidRPr="00035E02">
            <w:rPr>
              <w:rFonts w:asciiTheme="minorHAnsi" w:hAnsiTheme="minorHAnsi"/>
              <w:sz w:val="20"/>
            </w:rPr>
            <w:t>Hercules Silva</w:t>
          </w:r>
        </w:p>
        <w:p w14:paraId="099C0DF6" w14:textId="77777777" w:rsidR="003142A7" w:rsidRPr="00C7010C" w:rsidRDefault="003142A7" w:rsidP="003142A7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sz w:val="20"/>
            </w:rPr>
            <w:t>Diretor de Gestão de Contratos</w:t>
          </w:r>
        </w:p>
      </w:tc>
    </w:tr>
  </w:tbl>
  <w:p w14:paraId="33F555F5" w14:textId="77777777" w:rsidR="00FA1EAF" w:rsidRPr="006E4A1B" w:rsidRDefault="00FA1EAF" w:rsidP="00FA1EAF">
    <w:pPr>
      <w:pStyle w:val="Rodap"/>
      <w:spacing w:before="120" w:after="120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14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18</w:t>
    </w:r>
    <w:r w:rsidRPr="006E4A1B">
      <w:rPr>
        <w:rFonts w:asciiTheme="minorHAnsi" w:hAnsiTheme="minorHAnsi"/>
        <w:sz w:val="20"/>
      </w:rPr>
      <w:fldChar w:fldCharType="end"/>
    </w:r>
  </w:p>
  <w:p w14:paraId="65EF6806" w14:textId="77777777" w:rsidR="00FA1EAF" w:rsidRDefault="00FA1EAF">
    <w:pPr>
      <w:pStyle w:val="Rodap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A3181" w14:textId="77777777" w:rsidR="00FA1EAF" w:rsidRPr="006E4A1B" w:rsidRDefault="00FA1EAF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15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B7DC8">
      <w:rPr>
        <w:rFonts w:asciiTheme="minorHAnsi" w:hAnsiTheme="minorHAnsi"/>
        <w:noProof/>
        <w:sz w:val="20"/>
      </w:rPr>
      <w:t>18</w:t>
    </w:r>
    <w:r w:rsidRPr="006E4A1B">
      <w:rPr>
        <w:rFonts w:asciiTheme="minorHAnsi" w:hAnsiTheme="minorHAnsi"/>
        <w:sz w:val="20"/>
      </w:rPr>
      <w:fldChar w:fldCharType="end"/>
    </w:r>
  </w:p>
  <w:p w14:paraId="006A14E2" w14:textId="77777777" w:rsidR="00FA1EAF" w:rsidRDefault="00FA1EA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71FB0" w14:textId="77777777" w:rsidR="00146C78" w:rsidRDefault="00146C78" w:rsidP="008D2702">
      <w:r>
        <w:separator/>
      </w:r>
    </w:p>
  </w:footnote>
  <w:footnote w:type="continuationSeparator" w:id="0">
    <w:p w14:paraId="6C37941A" w14:textId="77777777" w:rsidR="00146C78" w:rsidRDefault="00146C78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66BE2" w14:textId="77777777" w:rsidR="003142A7" w:rsidRDefault="003142A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FA1EAF" w:rsidRPr="008D2702" w14:paraId="01332BE5" w14:textId="77777777" w:rsidTr="006009D6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14:paraId="23C426F6" w14:textId="77777777" w:rsidR="00FA1EAF" w:rsidRPr="008D2702" w:rsidRDefault="00FA1EAF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E6915BE" wp14:editId="007409E5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4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14:paraId="37176D3B" w14:textId="550B2410" w:rsidR="00FA1EAF" w:rsidRPr="00355C38" w:rsidRDefault="00FA1EAF" w:rsidP="00355C38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355C38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EQUALIZAÇÃO DE </w:t>
          </w:r>
        </w:p>
        <w:p w14:paraId="18C63D50" w14:textId="12A14E33" w:rsidR="00FA1EAF" w:rsidRPr="00567994" w:rsidRDefault="00FA1EAF" w:rsidP="00355C38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355C38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GASTOS E VOLUMES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082AE77B" w14:textId="77777777" w:rsidR="00FA1EAF" w:rsidRPr="00A37EDD" w:rsidRDefault="00FA1EAF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14:paraId="70FEFCBF" w14:textId="77777777" w:rsidR="00FA1EAF" w:rsidRPr="00A37EDD" w:rsidRDefault="00FA1EAF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355C38">
            <w:rPr>
              <w:rFonts w:asciiTheme="majorHAnsi" w:hAnsiTheme="majorHAnsi" w:cs="Arial"/>
              <w:sz w:val="22"/>
              <w:szCs w:val="20"/>
            </w:rPr>
            <w:t>PP.DGC.002/2017</w:t>
          </w:r>
        </w:p>
      </w:tc>
    </w:tr>
    <w:tr w:rsidR="00FA1EAF" w:rsidRPr="008D2702" w14:paraId="4CD404F2" w14:textId="77777777" w:rsidTr="006009D6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14:paraId="23279116" w14:textId="77777777" w:rsidR="00FA1EAF" w:rsidRPr="008D2702" w:rsidRDefault="00FA1EAF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14:paraId="3FF5C8DE" w14:textId="77777777" w:rsidR="00FA1EAF" w:rsidRPr="008D2702" w:rsidRDefault="00FA1EAF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14:paraId="5327C3C0" w14:textId="77777777" w:rsidR="00FA1EAF" w:rsidRPr="00A37EDD" w:rsidRDefault="00FA1EAF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14:paraId="378D8FD7" w14:textId="77777777" w:rsidR="00FA1EAF" w:rsidRPr="00A37EDD" w:rsidRDefault="00FA1EAF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FA1EAF" w:rsidRPr="008D2702" w14:paraId="6E08AAEF" w14:textId="77777777" w:rsidTr="006009D6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14:paraId="7CCE8995" w14:textId="77777777" w:rsidR="00FA1EAF" w:rsidRPr="008D2702" w:rsidRDefault="00FA1EAF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14:paraId="1A8118E2" w14:textId="77777777" w:rsidR="00FA1EAF" w:rsidRPr="008D2702" w:rsidRDefault="00FA1EAF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14:paraId="65A46466" w14:textId="77777777" w:rsidR="00FA1EAF" w:rsidRPr="00A37EDD" w:rsidRDefault="00FA1EAF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14:paraId="6EAC9623" w14:textId="77777777" w:rsidR="00FA1EAF" w:rsidRPr="00A37EDD" w:rsidRDefault="00FA1EAF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14:paraId="5D927428" w14:textId="77777777" w:rsidR="00FA1EAF" w:rsidRDefault="00FA1EA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46D55" w14:textId="77777777" w:rsidR="003142A7" w:rsidRDefault="003142A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1" w15:restartNumberingAfterBreak="0">
    <w:nsid w:val="04A56455"/>
    <w:multiLevelType w:val="hybridMultilevel"/>
    <w:tmpl w:val="E4506B56"/>
    <w:lvl w:ilvl="0" w:tplc="F0220E38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8" w:hanging="360"/>
      </w:pPr>
    </w:lvl>
    <w:lvl w:ilvl="2" w:tplc="0416001B" w:tentative="1">
      <w:start w:val="1"/>
      <w:numFmt w:val="lowerRoman"/>
      <w:lvlText w:val="%3."/>
      <w:lvlJc w:val="right"/>
      <w:pPr>
        <w:ind w:left="2798" w:hanging="180"/>
      </w:pPr>
    </w:lvl>
    <w:lvl w:ilvl="3" w:tplc="0416000F" w:tentative="1">
      <w:start w:val="1"/>
      <w:numFmt w:val="decimal"/>
      <w:lvlText w:val="%4."/>
      <w:lvlJc w:val="left"/>
      <w:pPr>
        <w:ind w:left="3518" w:hanging="360"/>
      </w:pPr>
    </w:lvl>
    <w:lvl w:ilvl="4" w:tplc="04160019" w:tentative="1">
      <w:start w:val="1"/>
      <w:numFmt w:val="lowerLetter"/>
      <w:lvlText w:val="%5."/>
      <w:lvlJc w:val="left"/>
      <w:pPr>
        <w:ind w:left="4238" w:hanging="360"/>
      </w:pPr>
    </w:lvl>
    <w:lvl w:ilvl="5" w:tplc="0416001B" w:tentative="1">
      <w:start w:val="1"/>
      <w:numFmt w:val="lowerRoman"/>
      <w:lvlText w:val="%6."/>
      <w:lvlJc w:val="right"/>
      <w:pPr>
        <w:ind w:left="4958" w:hanging="180"/>
      </w:pPr>
    </w:lvl>
    <w:lvl w:ilvl="6" w:tplc="0416000F" w:tentative="1">
      <w:start w:val="1"/>
      <w:numFmt w:val="decimal"/>
      <w:lvlText w:val="%7."/>
      <w:lvlJc w:val="left"/>
      <w:pPr>
        <w:ind w:left="5678" w:hanging="360"/>
      </w:pPr>
    </w:lvl>
    <w:lvl w:ilvl="7" w:tplc="04160019" w:tentative="1">
      <w:start w:val="1"/>
      <w:numFmt w:val="lowerLetter"/>
      <w:lvlText w:val="%8."/>
      <w:lvlJc w:val="left"/>
      <w:pPr>
        <w:ind w:left="6398" w:hanging="360"/>
      </w:pPr>
    </w:lvl>
    <w:lvl w:ilvl="8" w:tplc="0416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" w15:restartNumberingAfterBreak="0">
    <w:nsid w:val="06966614"/>
    <w:multiLevelType w:val="multilevel"/>
    <w:tmpl w:val="4ABC8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Univers for KPMG" w:hAnsi="Univers for KPMG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ascii="Univers for KPMG" w:hAnsi="Univers for KPMG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ascii="Univers for KPMG" w:hAnsi="Univers for KPMG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ascii="Univers for KPMG" w:hAnsi="Univers for KPMG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540" w:hanging="1440"/>
      </w:pPr>
      <w:rPr>
        <w:rFonts w:ascii="Univers for KPMG" w:hAnsi="Univers for KPMG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ascii="Univers for KPMG" w:hAnsi="Univers for KPMG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40" w:hanging="1800"/>
      </w:pPr>
      <w:rPr>
        <w:rFonts w:ascii="Univers for KPMG" w:hAnsi="Univers for KPMG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960" w:hanging="1800"/>
      </w:pPr>
      <w:rPr>
        <w:rFonts w:ascii="Univers for KPMG" w:hAnsi="Univers for KPMG" w:cs="Arial" w:hint="default"/>
        <w:sz w:val="24"/>
      </w:rPr>
    </w:lvl>
  </w:abstractNum>
  <w:abstractNum w:abstractNumId="3" w15:restartNumberingAfterBreak="0">
    <w:nsid w:val="10FC59DA"/>
    <w:multiLevelType w:val="hybridMultilevel"/>
    <w:tmpl w:val="DC74E758"/>
    <w:lvl w:ilvl="0" w:tplc="0416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29120E"/>
    <w:multiLevelType w:val="hybridMultilevel"/>
    <w:tmpl w:val="9E746380"/>
    <w:lvl w:ilvl="0" w:tplc="C8B67234">
      <w:start w:val="1"/>
      <w:numFmt w:val="lowerRoman"/>
      <w:lvlText w:val="%1."/>
      <w:lvlJc w:val="left"/>
      <w:pPr>
        <w:ind w:left="28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1DA86B3C"/>
    <w:multiLevelType w:val="hybridMultilevel"/>
    <w:tmpl w:val="540E2502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24FB68C9"/>
    <w:multiLevelType w:val="hybridMultilevel"/>
    <w:tmpl w:val="6016C194"/>
    <w:lvl w:ilvl="0" w:tplc="30C2E156">
      <w:start w:val="1"/>
      <w:numFmt w:val="bullet"/>
      <w:lvlText w:val="̶"/>
      <w:lvlJc w:val="left"/>
      <w:pPr>
        <w:ind w:left="2138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9560BC9"/>
    <w:multiLevelType w:val="multilevel"/>
    <w:tmpl w:val="97E4A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9" w15:restartNumberingAfterBreak="0">
    <w:nsid w:val="2D0B2D46"/>
    <w:multiLevelType w:val="hybridMultilevel"/>
    <w:tmpl w:val="E5907AE8"/>
    <w:lvl w:ilvl="0" w:tplc="EB9EA82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50B14B7"/>
    <w:multiLevelType w:val="hybridMultilevel"/>
    <w:tmpl w:val="66DA5554"/>
    <w:lvl w:ilvl="0" w:tplc="65D89D7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4F525506"/>
    <w:multiLevelType w:val="hybridMultilevel"/>
    <w:tmpl w:val="CEB81C7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F77F5"/>
    <w:multiLevelType w:val="singleLevel"/>
    <w:tmpl w:val="04160005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auto"/>
        <w:sz w:val="24"/>
      </w:rPr>
    </w:lvl>
  </w:abstractNum>
  <w:abstractNum w:abstractNumId="14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7E703B4"/>
    <w:multiLevelType w:val="hybridMultilevel"/>
    <w:tmpl w:val="9DF08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680710ED"/>
    <w:multiLevelType w:val="hybridMultilevel"/>
    <w:tmpl w:val="2AA456A8"/>
    <w:lvl w:ilvl="0" w:tplc="04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7E264C7D"/>
    <w:multiLevelType w:val="hybridMultilevel"/>
    <w:tmpl w:val="A86A5E2C"/>
    <w:lvl w:ilvl="0" w:tplc="28C45B6C">
      <w:start w:val="1"/>
      <w:numFmt w:val="lowerLetter"/>
      <w:lvlText w:val="%1)"/>
      <w:lvlJc w:val="left"/>
      <w:pPr>
        <w:ind w:left="140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27" w:hanging="360"/>
      </w:pPr>
    </w:lvl>
    <w:lvl w:ilvl="2" w:tplc="0416001B" w:tentative="1">
      <w:start w:val="1"/>
      <w:numFmt w:val="lowerRoman"/>
      <w:lvlText w:val="%3."/>
      <w:lvlJc w:val="right"/>
      <w:pPr>
        <w:ind w:left="2847" w:hanging="180"/>
      </w:pPr>
    </w:lvl>
    <w:lvl w:ilvl="3" w:tplc="0416000F" w:tentative="1">
      <w:start w:val="1"/>
      <w:numFmt w:val="decimal"/>
      <w:lvlText w:val="%4."/>
      <w:lvlJc w:val="left"/>
      <w:pPr>
        <w:ind w:left="3567" w:hanging="360"/>
      </w:pPr>
    </w:lvl>
    <w:lvl w:ilvl="4" w:tplc="04160019" w:tentative="1">
      <w:start w:val="1"/>
      <w:numFmt w:val="lowerLetter"/>
      <w:lvlText w:val="%5."/>
      <w:lvlJc w:val="left"/>
      <w:pPr>
        <w:ind w:left="4287" w:hanging="360"/>
      </w:pPr>
    </w:lvl>
    <w:lvl w:ilvl="5" w:tplc="0416001B" w:tentative="1">
      <w:start w:val="1"/>
      <w:numFmt w:val="lowerRoman"/>
      <w:lvlText w:val="%6."/>
      <w:lvlJc w:val="right"/>
      <w:pPr>
        <w:ind w:left="5007" w:hanging="180"/>
      </w:pPr>
    </w:lvl>
    <w:lvl w:ilvl="6" w:tplc="0416000F" w:tentative="1">
      <w:start w:val="1"/>
      <w:numFmt w:val="decimal"/>
      <w:lvlText w:val="%7."/>
      <w:lvlJc w:val="left"/>
      <w:pPr>
        <w:ind w:left="5727" w:hanging="360"/>
      </w:pPr>
    </w:lvl>
    <w:lvl w:ilvl="7" w:tplc="04160019" w:tentative="1">
      <w:start w:val="1"/>
      <w:numFmt w:val="lowerLetter"/>
      <w:lvlText w:val="%8."/>
      <w:lvlJc w:val="left"/>
      <w:pPr>
        <w:ind w:left="6447" w:hanging="360"/>
      </w:pPr>
    </w:lvl>
    <w:lvl w:ilvl="8" w:tplc="0416001B" w:tentative="1">
      <w:start w:val="1"/>
      <w:numFmt w:val="lowerRoman"/>
      <w:lvlText w:val="%9."/>
      <w:lvlJc w:val="right"/>
      <w:pPr>
        <w:ind w:left="7167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6"/>
  </w:num>
  <w:num w:numId="5">
    <w:abstractNumId w:val="14"/>
  </w:num>
  <w:num w:numId="6">
    <w:abstractNumId w:val="12"/>
  </w:num>
  <w:num w:numId="7">
    <w:abstractNumId w:val="1"/>
  </w:num>
  <w:num w:numId="8">
    <w:abstractNumId w:val="3"/>
  </w:num>
  <w:num w:numId="9">
    <w:abstractNumId w:val="15"/>
  </w:num>
  <w:num w:numId="10">
    <w:abstractNumId w:val="7"/>
  </w:num>
  <w:num w:numId="11">
    <w:abstractNumId w:val="5"/>
  </w:num>
  <w:num w:numId="12">
    <w:abstractNumId w:val="2"/>
  </w:num>
  <w:num w:numId="13">
    <w:abstractNumId w:val="13"/>
  </w:num>
  <w:num w:numId="14">
    <w:abstractNumId w:val="17"/>
  </w:num>
  <w:num w:numId="15">
    <w:abstractNumId w:val="10"/>
  </w:num>
  <w:num w:numId="16">
    <w:abstractNumId w:val="18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9"/>
  </w:num>
  <w:num w:numId="29">
    <w:abstractNumId w:val="4"/>
  </w:num>
  <w:num w:numId="30">
    <w:abstractNumId w:val="16"/>
  </w:num>
  <w:num w:numId="3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0756A"/>
    <w:rsid w:val="00034DBC"/>
    <w:rsid w:val="00037F05"/>
    <w:rsid w:val="00042F73"/>
    <w:rsid w:val="0005327E"/>
    <w:rsid w:val="00071C84"/>
    <w:rsid w:val="00080ACC"/>
    <w:rsid w:val="000862AF"/>
    <w:rsid w:val="00093CF6"/>
    <w:rsid w:val="000B56E5"/>
    <w:rsid w:val="000B7086"/>
    <w:rsid w:val="000C0AD3"/>
    <w:rsid w:val="000C6A5A"/>
    <w:rsid w:val="00100C98"/>
    <w:rsid w:val="00117097"/>
    <w:rsid w:val="00130A65"/>
    <w:rsid w:val="001357B9"/>
    <w:rsid w:val="00146C78"/>
    <w:rsid w:val="00170878"/>
    <w:rsid w:val="00183ED0"/>
    <w:rsid w:val="00194178"/>
    <w:rsid w:val="001B0D58"/>
    <w:rsid w:val="001C4711"/>
    <w:rsid w:val="001D0B80"/>
    <w:rsid w:val="001D126B"/>
    <w:rsid w:val="001D5364"/>
    <w:rsid w:val="001F0D4D"/>
    <w:rsid w:val="001F3DF9"/>
    <w:rsid w:val="001F5ED0"/>
    <w:rsid w:val="00235BA2"/>
    <w:rsid w:val="00243A29"/>
    <w:rsid w:val="00244CA1"/>
    <w:rsid w:val="00255FA8"/>
    <w:rsid w:val="002676C2"/>
    <w:rsid w:val="00267974"/>
    <w:rsid w:val="0027071E"/>
    <w:rsid w:val="00272007"/>
    <w:rsid w:val="00292F87"/>
    <w:rsid w:val="002A14B3"/>
    <w:rsid w:val="002B4556"/>
    <w:rsid w:val="00305049"/>
    <w:rsid w:val="003122FC"/>
    <w:rsid w:val="003142A7"/>
    <w:rsid w:val="0031438E"/>
    <w:rsid w:val="003174A8"/>
    <w:rsid w:val="003177CB"/>
    <w:rsid w:val="00334ED2"/>
    <w:rsid w:val="00355C38"/>
    <w:rsid w:val="00380D95"/>
    <w:rsid w:val="003B1137"/>
    <w:rsid w:val="003B6FB5"/>
    <w:rsid w:val="003B7DC8"/>
    <w:rsid w:val="003C4544"/>
    <w:rsid w:val="003E1865"/>
    <w:rsid w:val="003E18D5"/>
    <w:rsid w:val="003E7E7F"/>
    <w:rsid w:val="00422EE0"/>
    <w:rsid w:val="00451F14"/>
    <w:rsid w:val="00473864"/>
    <w:rsid w:val="00484A4B"/>
    <w:rsid w:val="00484E91"/>
    <w:rsid w:val="004A1BE3"/>
    <w:rsid w:val="004A30FD"/>
    <w:rsid w:val="004B41E7"/>
    <w:rsid w:val="004C2060"/>
    <w:rsid w:val="004C474A"/>
    <w:rsid w:val="00502A6A"/>
    <w:rsid w:val="00507F62"/>
    <w:rsid w:val="00521FC8"/>
    <w:rsid w:val="005267C2"/>
    <w:rsid w:val="00533048"/>
    <w:rsid w:val="00551FC8"/>
    <w:rsid w:val="00555C7F"/>
    <w:rsid w:val="00563267"/>
    <w:rsid w:val="00567443"/>
    <w:rsid w:val="00567994"/>
    <w:rsid w:val="00572692"/>
    <w:rsid w:val="00591413"/>
    <w:rsid w:val="00593256"/>
    <w:rsid w:val="005B6025"/>
    <w:rsid w:val="005E296D"/>
    <w:rsid w:val="005F1A77"/>
    <w:rsid w:val="006009D6"/>
    <w:rsid w:val="00622F37"/>
    <w:rsid w:val="00630F7E"/>
    <w:rsid w:val="0064582E"/>
    <w:rsid w:val="00654FE9"/>
    <w:rsid w:val="00677789"/>
    <w:rsid w:val="00691D57"/>
    <w:rsid w:val="006B0750"/>
    <w:rsid w:val="006B62A7"/>
    <w:rsid w:val="006B7BEE"/>
    <w:rsid w:val="006E2DF6"/>
    <w:rsid w:val="006E3861"/>
    <w:rsid w:val="006E4A1B"/>
    <w:rsid w:val="006F7853"/>
    <w:rsid w:val="007124B3"/>
    <w:rsid w:val="00712C75"/>
    <w:rsid w:val="007254CF"/>
    <w:rsid w:val="00732CD2"/>
    <w:rsid w:val="00743468"/>
    <w:rsid w:val="00772A7C"/>
    <w:rsid w:val="007836D0"/>
    <w:rsid w:val="007C3715"/>
    <w:rsid w:val="007D2767"/>
    <w:rsid w:val="008114AF"/>
    <w:rsid w:val="00821A62"/>
    <w:rsid w:val="0084759B"/>
    <w:rsid w:val="008541BF"/>
    <w:rsid w:val="008609BD"/>
    <w:rsid w:val="0088677F"/>
    <w:rsid w:val="008A1411"/>
    <w:rsid w:val="008D2702"/>
    <w:rsid w:val="008F1071"/>
    <w:rsid w:val="008F2022"/>
    <w:rsid w:val="00922BB2"/>
    <w:rsid w:val="00946460"/>
    <w:rsid w:val="00951A09"/>
    <w:rsid w:val="00963B25"/>
    <w:rsid w:val="009730D3"/>
    <w:rsid w:val="00985AAB"/>
    <w:rsid w:val="009A0A22"/>
    <w:rsid w:val="009A1FA4"/>
    <w:rsid w:val="009B0F6F"/>
    <w:rsid w:val="009B17BD"/>
    <w:rsid w:val="009B7F76"/>
    <w:rsid w:val="009C2DE0"/>
    <w:rsid w:val="009C56A4"/>
    <w:rsid w:val="009D3B41"/>
    <w:rsid w:val="009F6898"/>
    <w:rsid w:val="00A03763"/>
    <w:rsid w:val="00A0745E"/>
    <w:rsid w:val="00A1094A"/>
    <w:rsid w:val="00A22989"/>
    <w:rsid w:val="00A348CD"/>
    <w:rsid w:val="00A37EDD"/>
    <w:rsid w:val="00A44B4B"/>
    <w:rsid w:val="00A966FB"/>
    <w:rsid w:val="00AC571B"/>
    <w:rsid w:val="00AE26D1"/>
    <w:rsid w:val="00AE5634"/>
    <w:rsid w:val="00B1433F"/>
    <w:rsid w:val="00B20B58"/>
    <w:rsid w:val="00B22691"/>
    <w:rsid w:val="00B32BDD"/>
    <w:rsid w:val="00B33CE9"/>
    <w:rsid w:val="00B37BCB"/>
    <w:rsid w:val="00B616DC"/>
    <w:rsid w:val="00B82535"/>
    <w:rsid w:val="00B91B6D"/>
    <w:rsid w:val="00B95FD3"/>
    <w:rsid w:val="00BA5A69"/>
    <w:rsid w:val="00BB34F7"/>
    <w:rsid w:val="00BB4BA9"/>
    <w:rsid w:val="00BC0207"/>
    <w:rsid w:val="00BC1251"/>
    <w:rsid w:val="00BE6808"/>
    <w:rsid w:val="00BF19A0"/>
    <w:rsid w:val="00C45B97"/>
    <w:rsid w:val="00C46635"/>
    <w:rsid w:val="00C56D8F"/>
    <w:rsid w:val="00C64867"/>
    <w:rsid w:val="00C655D0"/>
    <w:rsid w:val="00C7010C"/>
    <w:rsid w:val="00C96D47"/>
    <w:rsid w:val="00CC34E5"/>
    <w:rsid w:val="00CC3566"/>
    <w:rsid w:val="00CC797A"/>
    <w:rsid w:val="00CD2415"/>
    <w:rsid w:val="00CE6C54"/>
    <w:rsid w:val="00CF10F5"/>
    <w:rsid w:val="00D039EB"/>
    <w:rsid w:val="00D25291"/>
    <w:rsid w:val="00D34A53"/>
    <w:rsid w:val="00D4367B"/>
    <w:rsid w:val="00D446CB"/>
    <w:rsid w:val="00D4570F"/>
    <w:rsid w:val="00D547C3"/>
    <w:rsid w:val="00D86A59"/>
    <w:rsid w:val="00D91476"/>
    <w:rsid w:val="00D91CEC"/>
    <w:rsid w:val="00DA0EAE"/>
    <w:rsid w:val="00DD14A9"/>
    <w:rsid w:val="00DE4573"/>
    <w:rsid w:val="00DF215C"/>
    <w:rsid w:val="00E16002"/>
    <w:rsid w:val="00E325E5"/>
    <w:rsid w:val="00E546E1"/>
    <w:rsid w:val="00E92425"/>
    <w:rsid w:val="00E952B6"/>
    <w:rsid w:val="00E97D97"/>
    <w:rsid w:val="00EA0D5C"/>
    <w:rsid w:val="00EB760D"/>
    <w:rsid w:val="00EC091F"/>
    <w:rsid w:val="00ED393A"/>
    <w:rsid w:val="00EE088A"/>
    <w:rsid w:val="00EE0DBC"/>
    <w:rsid w:val="00F01AE3"/>
    <w:rsid w:val="00F113BE"/>
    <w:rsid w:val="00F114B3"/>
    <w:rsid w:val="00F20D48"/>
    <w:rsid w:val="00F34D6C"/>
    <w:rsid w:val="00F40719"/>
    <w:rsid w:val="00F43A06"/>
    <w:rsid w:val="00F47E29"/>
    <w:rsid w:val="00F73D05"/>
    <w:rsid w:val="00FA1EAF"/>
    <w:rsid w:val="00FD736E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9CA40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uiPriority w:val="99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  <w:style w:type="paragraph" w:customStyle="1" w:styleId="Blockident5">
    <w:name w:val="Block ident 5"/>
    <w:basedOn w:val="Normal"/>
    <w:link w:val="Blockident5Char"/>
    <w:rsid w:val="002676C2"/>
    <w:pPr>
      <w:tabs>
        <w:tab w:val="left" w:pos="1701"/>
        <w:tab w:val="left" w:pos="2552"/>
      </w:tabs>
      <w:spacing w:before="40"/>
      <w:ind w:left="1701" w:right="142" w:hanging="1134"/>
      <w:jc w:val="both"/>
    </w:pPr>
    <w:rPr>
      <w:rFonts w:ascii="Arial" w:eastAsia="Batang" w:hAnsi="Arial"/>
      <w:sz w:val="22"/>
      <w:szCs w:val="22"/>
      <w:lang w:val="en-US"/>
    </w:rPr>
  </w:style>
  <w:style w:type="character" w:customStyle="1" w:styleId="Blockident5Char">
    <w:name w:val="Block ident 5 Char"/>
    <w:link w:val="Blockident5"/>
    <w:rsid w:val="002676C2"/>
    <w:rPr>
      <w:rFonts w:ascii="Arial" w:eastAsia="Batang" w:hAnsi="Arial" w:cs="Times New Roman"/>
      <w:lang w:val="en-US"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4570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4570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4570F"/>
    <w:rPr>
      <w:rFonts w:ascii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457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4570F"/>
    <w:rPr>
      <w:rFonts w:ascii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1DD87-6871-4D6A-B174-7E3415E7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3687</Words>
  <Characters>19915</Characters>
  <Application>Microsoft Office Word</Application>
  <DocSecurity>0</DocSecurity>
  <Lines>165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5</cp:revision>
  <cp:lastPrinted>2017-06-23T18:14:00Z</cp:lastPrinted>
  <dcterms:created xsi:type="dcterms:W3CDTF">2017-09-15T14:52:00Z</dcterms:created>
  <dcterms:modified xsi:type="dcterms:W3CDTF">2018-02-07T16:21:00Z</dcterms:modified>
</cp:coreProperties>
</file>