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4B5" w:rsidRDefault="005534B5" w:rsidP="005534B5">
      <w:pPr>
        <w:rPr>
          <w:rFonts w:ascii="Calibri" w:hAnsi="Calibri"/>
          <w:b/>
          <w:sz w:val="22"/>
          <w:szCs w:val="22"/>
          <w:lang w:eastAsia="en-US"/>
        </w:rPr>
      </w:pPr>
    </w:p>
    <w:p w:rsidR="00922BB2" w:rsidRPr="005534B5" w:rsidRDefault="00922BB2" w:rsidP="005534B5">
      <w:pPr>
        <w:rPr>
          <w:rFonts w:ascii="Calibri" w:hAnsi="Calibri"/>
          <w:b/>
          <w:sz w:val="22"/>
          <w:szCs w:val="22"/>
          <w:lang w:eastAsia="en-US"/>
        </w:rPr>
      </w:pPr>
      <w:r w:rsidRPr="005534B5">
        <w:rPr>
          <w:rFonts w:ascii="Calibri" w:hAnsi="Calibri"/>
          <w:b/>
          <w:sz w:val="22"/>
          <w:szCs w:val="22"/>
          <w:lang w:eastAsia="en-US"/>
        </w:rPr>
        <w:t>SUMÁRIO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-17459535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C2060" w:rsidRDefault="004C2060" w:rsidP="005534B5">
          <w:pPr>
            <w:pStyle w:val="CabealhodoSumrio"/>
            <w:spacing w:before="0"/>
          </w:pPr>
        </w:p>
        <w:p w:rsidR="009D01BE" w:rsidRPr="009D01BE" w:rsidRDefault="004C206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r w:rsidRPr="009D01BE">
            <w:fldChar w:fldCharType="begin"/>
          </w:r>
          <w:r w:rsidRPr="009D01BE">
            <w:instrText xml:space="preserve"> TOC \o "1-3" \h \z \u </w:instrText>
          </w:r>
          <w:r w:rsidRPr="009D01BE">
            <w:fldChar w:fldCharType="separate"/>
          </w:r>
          <w:hyperlink w:anchor="_Toc492662812" w:history="1">
            <w:r w:rsidR="009D01BE" w:rsidRPr="009D01BE">
              <w:rPr>
                <w:rStyle w:val="Hyperlink"/>
                <w:noProof/>
              </w:rPr>
              <w:t>1.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Objetivo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_Toc492662812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- 2 -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13" w:history="1">
            <w:r w:rsidR="009D01BE" w:rsidRPr="009D01BE">
              <w:rPr>
                <w:rStyle w:val="Hyperlink"/>
                <w:noProof/>
              </w:rPr>
              <w:t>2.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Aplicação e Abrangência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_Toc492662813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- 2 -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14" w:history="1">
            <w:r w:rsidR="009D01BE" w:rsidRPr="009D01BE">
              <w:rPr>
                <w:rStyle w:val="Hyperlink"/>
                <w:noProof/>
              </w:rPr>
              <w:t>3.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Documentos de Referência e Complementares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_Toc492662814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- 2 -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15" w:history="1">
            <w:r w:rsidR="009D01BE" w:rsidRPr="009D01BE">
              <w:rPr>
                <w:rStyle w:val="Hyperlink"/>
                <w:noProof/>
              </w:rPr>
              <w:t>4.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Definições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_Toc492662815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- 2 -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16" w:history="1">
            <w:r w:rsidR="009D01BE" w:rsidRPr="009D01BE">
              <w:rPr>
                <w:rStyle w:val="Hyperlink"/>
                <w:noProof/>
              </w:rPr>
              <w:t>5.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Autoridade e Competências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_Toc492662816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- 3 -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17" w:history="1">
            <w:r w:rsidR="009D01BE" w:rsidRPr="009D01BE">
              <w:rPr>
                <w:rStyle w:val="Hyperlink"/>
                <w:noProof/>
              </w:rPr>
              <w:t>6.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Descrição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_Toc492662817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- 4 -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18" w:history="1">
            <w:r w:rsidR="009D01BE" w:rsidRPr="009D01BE">
              <w:rPr>
                <w:rStyle w:val="Hyperlink"/>
                <w:noProof/>
              </w:rPr>
              <w:t>6.1.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Descrição Geral do Processo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_Toc492662818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- 4 -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19" w:history="1">
            <w:r w:rsidR="009D01BE" w:rsidRPr="009D01BE">
              <w:rPr>
                <w:rStyle w:val="Hyperlink"/>
                <w:noProof/>
              </w:rPr>
              <w:t>6.2.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Validações e Cálculos do SGPP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_Toc492662819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- 4 -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0" w:history="1">
            <w:r w:rsidR="009D01BE" w:rsidRPr="009D01BE">
              <w:rPr>
                <w:rStyle w:val="Hyperlink"/>
                <w:noProof/>
              </w:rPr>
              <w:t>6.3.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Procedimento de Recuperação do Custo em Óleo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_Toc492662820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- 4 -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1" w:history="1">
            <w:r w:rsidR="009D01BE" w:rsidRPr="009D01BE">
              <w:rPr>
                <w:rStyle w:val="Hyperlink"/>
                <w:noProof/>
              </w:rPr>
              <w:t>6.4.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Monitoramento do Processo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_Toc492662821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- 7 -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2" w:history="1">
            <w:r w:rsidR="009D01BE" w:rsidRPr="009D01BE">
              <w:rPr>
                <w:rStyle w:val="Hyperlink"/>
                <w:noProof/>
              </w:rPr>
              <w:t>6.5.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Prazos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_Toc492662822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- 8 -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23" w:history="1">
            <w:r w:rsidR="009D01BE" w:rsidRPr="009D01BE">
              <w:rPr>
                <w:rStyle w:val="Hyperlink"/>
                <w:noProof/>
              </w:rPr>
              <w:t>7.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Índice de Revisões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_Toc492662823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- 9 -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1"/>
            <w:tabs>
              <w:tab w:val="left" w:pos="440"/>
              <w:tab w:val="right" w:leader="dot" w:pos="9736"/>
            </w:tabs>
            <w:rPr>
              <w:rFonts w:eastAsiaTheme="minorEastAsia"/>
              <w:noProof/>
              <w:lang w:eastAsia="pt-BR"/>
            </w:rPr>
          </w:pPr>
          <w:hyperlink w:anchor="_Toc492662824" w:history="1">
            <w:r w:rsidR="009D01BE" w:rsidRPr="009D01BE">
              <w:rPr>
                <w:rStyle w:val="Hyperlink"/>
                <w:noProof/>
              </w:rPr>
              <w:t>8.</w:t>
            </w:r>
            <w:r w:rsidR="009D01BE" w:rsidRPr="009D01BE">
              <w:rPr>
                <w:rFonts w:eastAsiaTheme="minorEastAsia"/>
                <w:noProof/>
                <w:lang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Anexos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_Toc492662824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- 10 -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5" w:history="1">
            <w:r w:rsidR="009D01BE" w:rsidRPr="009D01BE">
              <w:rPr>
                <w:rStyle w:val="Hyperlink"/>
                <w:noProof/>
              </w:rPr>
              <w:t>8.1.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Anexo I - Padrão de Processo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_Toc492662825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- 10 -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6" w:history="1">
            <w:r w:rsidR="009D01BE" w:rsidRPr="009D01BE">
              <w:rPr>
                <w:rStyle w:val="Hyperlink"/>
                <w:noProof/>
              </w:rPr>
              <w:t>8.2.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Anexo II - Matriz de Papéis e Responsabilidades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_Toc492662826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- 11 -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7" w:history="1">
            <w:r w:rsidR="009D01BE" w:rsidRPr="009D01BE">
              <w:rPr>
                <w:rStyle w:val="Hyperlink"/>
                <w:noProof/>
              </w:rPr>
              <w:t>8.3.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Anexo III - Indicadores de Performance do Processo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_Toc492662827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- 12 -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9D01BE" w:rsidRPr="009D01BE" w:rsidRDefault="000D0B90">
          <w:pPr>
            <w:pStyle w:val="Sumrio2"/>
            <w:tabs>
              <w:tab w:val="left" w:pos="880"/>
              <w:tab w:val="right" w:leader="dot" w:pos="9736"/>
            </w:tabs>
            <w:rPr>
              <w:rFonts w:cstheme="minorBidi"/>
              <w:noProof/>
              <w:lang w:val="pt-BR" w:eastAsia="pt-BR"/>
            </w:rPr>
          </w:pPr>
          <w:hyperlink w:anchor="_Toc492662828" w:history="1">
            <w:r w:rsidR="009D01BE" w:rsidRPr="009D01BE">
              <w:rPr>
                <w:rStyle w:val="Hyperlink"/>
                <w:noProof/>
              </w:rPr>
              <w:t>8.4.</w:t>
            </w:r>
            <w:r w:rsidR="009D01BE" w:rsidRPr="009D01BE">
              <w:rPr>
                <w:rFonts w:cstheme="minorBidi"/>
                <w:noProof/>
                <w:lang w:val="pt-BR" w:eastAsia="pt-BR"/>
              </w:rPr>
              <w:tab/>
            </w:r>
            <w:r w:rsidR="009D01BE" w:rsidRPr="009D01BE">
              <w:rPr>
                <w:rStyle w:val="Hyperlink"/>
                <w:noProof/>
              </w:rPr>
              <w:t>Anexo IV - Mapa de Interface dos Processos</w:t>
            </w:r>
            <w:r w:rsidR="009D01BE" w:rsidRPr="009D01BE">
              <w:rPr>
                <w:noProof/>
                <w:webHidden/>
              </w:rPr>
              <w:tab/>
            </w:r>
            <w:r w:rsidR="009D01BE" w:rsidRPr="009D01BE">
              <w:rPr>
                <w:noProof/>
                <w:webHidden/>
              </w:rPr>
              <w:fldChar w:fldCharType="begin"/>
            </w:r>
            <w:r w:rsidR="009D01BE" w:rsidRPr="009D01BE">
              <w:rPr>
                <w:noProof/>
                <w:webHidden/>
              </w:rPr>
              <w:instrText xml:space="preserve"> PAGEREF _Toc492662828 \h </w:instrText>
            </w:r>
            <w:r w:rsidR="009D01BE" w:rsidRPr="009D01BE">
              <w:rPr>
                <w:noProof/>
                <w:webHidden/>
              </w:rPr>
            </w:r>
            <w:r w:rsidR="009D01BE" w:rsidRPr="009D01BE">
              <w:rPr>
                <w:noProof/>
                <w:webHidden/>
              </w:rPr>
              <w:fldChar w:fldCharType="separate"/>
            </w:r>
            <w:r w:rsidR="009D01BE" w:rsidRPr="009D01BE">
              <w:rPr>
                <w:noProof/>
                <w:webHidden/>
              </w:rPr>
              <w:t>- 13 -</w:t>
            </w:r>
            <w:r w:rsidR="009D01BE" w:rsidRPr="009D01BE">
              <w:rPr>
                <w:noProof/>
                <w:webHidden/>
              </w:rPr>
              <w:fldChar w:fldCharType="end"/>
            </w:r>
          </w:hyperlink>
        </w:p>
        <w:p w:rsidR="004C2060" w:rsidRPr="001C6734" w:rsidRDefault="004C2060" w:rsidP="00042F73">
          <w:pPr>
            <w:jc w:val="center"/>
            <w:rPr>
              <w:bCs/>
              <w:noProof/>
            </w:rPr>
          </w:pPr>
          <w:r w:rsidRPr="009D01BE">
            <w:rPr>
              <w:bCs/>
              <w:noProof/>
            </w:rPr>
            <w:fldChar w:fldCharType="end"/>
          </w:r>
        </w:p>
      </w:sdtContent>
    </w:sdt>
    <w:p w:rsidR="00235BA2" w:rsidRPr="001C6734" w:rsidRDefault="00235BA2" w:rsidP="004C2060">
      <w:r w:rsidRPr="001C6734">
        <w:rPr>
          <w:rFonts w:ascii="Calibri" w:hAnsi="Calibri"/>
          <w:color w:val="FF0000"/>
          <w:sz w:val="36"/>
          <w:szCs w:val="36"/>
          <w:highlight w:val="yellow"/>
          <w:lang w:eastAsia="en-US"/>
        </w:rPr>
        <w:br w:type="page"/>
      </w:r>
    </w:p>
    <w:p w:rsidR="00235BA2" w:rsidRPr="005534B5" w:rsidRDefault="00235BA2" w:rsidP="007254CF">
      <w:pPr>
        <w:pStyle w:val="Style1"/>
        <w:rPr>
          <w:b/>
          <w:sz w:val="22"/>
          <w:szCs w:val="22"/>
        </w:rPr>
      </w:pPr>
      <w:bookmarkStart w:id="0" w:name="_Ref444761209"/>
      <w:bookmarkStart w:id="1" w:name="_Ref444761211"/>
      <w:bookmarkStart w:id="2" w:name="_Ref444761212"/>
      <w:bookmarkStart w:id="3" w:name="_Toc483821334"/>
      <w:bookmarkStart w:id="4" w:name="_Toc492662812"/>
      <w:r w:rsidRPr="005534B5">
        <w:rPr>
          <w:b/>
          <w:sz w:val="22"/>
          <w:szCs w:val="22"/>
        </w:rPr>
        <w:lastRenderedPageBreak/>
        <w:t>Objetivo</w:t>
      </w:r>
      <w:bookmarkEnd w:id="0"/>
      <w:bookmarkEnd w:id="1"/>
      <w:bookmarkEnd w:id="2"/>
      <w:bookmarkEnd w:id="3"/>
      <w:bookmarkEnd w:id="4"/>
    </w:p>
    <w:p w:rsidR="002676C2" w:rsidRPr="005534B5" w:rsidRDefault="002676C2" w:rsidP="00235BA2">
      <w:pPr>
        <w:pStyle w:val="Corpodetexto"/>
        <w:kinsoku w:val="0"/>
        <w:overflowPunct w:val="0"/>
        <w:spacing w:line="360" w:lineRule="auto"/>
        <w:ind w:left="278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O objetivo geral deste procedimento é detalhar e padronizar as atividades, entradas, saídas e interfaces do processo de Recuperação do Custo em Óleo relativo aos Contratos de Partilha da Produção (</w:t>
      </w:r>
      <w:proofErr w:type="spellStart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CPPs</w:t>
      </w:r>
      <w:proofErr w:type="spellEnd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) de forma que o processo seja executado pelas áreas técnicas seguindo as métricas estabelecidas no contrato.</w:t>
      </w:r>
    </w:p>
    <w:p w:rsidR="00235BA2" w:rsidRPr="005534B5" w:rsidRDefault="00235BA2" w:rsidP="007254CF">
      <w:pPr>
        <w:pStyle w:val="Style1"/>
        <w:rPr>
          <w:b/>
          <w:sz w:val="22"/>
          <w:szCs w:val="22"/>
        </w:rPr>
      </w:pPr>
      <w:bookmarkStart w:id="5" w:name="_Toc492662813"/>
      <w:r w:rsidRPr="005534B5">
        <w:rPr>
          <w:b/>
          <w:sz w:val="22"/>
          <w:szCs w:val="22"/>
        </w:rPr>
        <w:t xml:space="preserve">Aplicação e </w:t>
      </w:r>
      <w:r w:rsidR="004C2060" w:rsidRPr="005534B5">
        <w:rPr>
          <w:b/>
          <w:sz w:val="22"/>
          <w:szCs w:val="22"/>
        </w:rPr>
        <w:t>Abrangência</w:t>
      </w:r>
      <w:bookmarkEnd w:id="5"/>
    </w:p>
    <w:p w:rsidR="002676C2" w:rsidRPr="005534B5" w:rsidRDefault="002676C2" w:rsidP="00235BA2">
      <w:pPr>
        <w:pStyle w:val="Corpodetexto"/>
        <w:kinsoku w:val="0"/>
        <w:overflowPunct w:val="0"/>
        <w:spacing w:line="360" w:lineRule="auto"/>
        <w:ind w:left="357" w:right="26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Este Procedimento se aplica à recuperação de custo em óleo, em todos os </w:t>
      </w:r>
      <w:proofErr w:type="spellStart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CPPs</w:t>
      </w:r>
      <w:proofErr w:type="spellEnd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, e é obrigação legal e contratual da </w:t>
      </w:r>
      <w:r w:rsidR="00511977"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Pré-Sal Petróleo</w:t>
      </w: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, visando o retorno dos custos incorridos </w:t>
      </w:r>
      <w:proofErr w:type="gramStart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pela(</w:t>
      </w:r>
      <w:proofErr w:type="gramEnd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s) empresa(s) contratada(s) presentes no Consórcio. O sistema de suporte a esse processo será o </w:t>
      </w:r>
      <w:r w:rsidR="006065AE" w:rsidRPr="006065AE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Sistema de Gestão de Gastos de Partilha de Produção </w:t>
      </w: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(</w:t>
      </w:r>
      <w:r w:rsidR="00511977"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).</w:t>
      </w:r>
    </w:p>
    <w:p w:rsidR="0027071E" w:rsidRPr="005534B5" w:rsidRDefault="0027071E" w:rsidP="007254CF">
      <w:pPr>
        <w:pStyle w:val="Style1"/>
        <w:rPr>
          <w:b/>
          <w:sz w:val="22"/>
          <w:szCs w:val="22"/>
        </w:rPr>
      </w:pPr>
      <w:bookmarkStart w:id="6" w:name="_Toc492662814"/>
      <w:r w:rsidRPr="005534B5">
        <w:rPr>
          <w:b/>
          <w:sz w:val="22"/>
          <w:szCs w:val="22"/>
        </w:rPr>
        <w:t>Documentos de Referência e Complementares</w:t>
      </w:r>
      <w:bookmarkEnd w:id="6"/>
    </w:p>
    <w:p w:rsidR="0027071E" w:rsidRPr="005534B5" w:rsidRDefault="00A1137C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Procedimento de Governança da Pré-Sal Petróleo para Contratos de Partilha da Produção (PG.DGC.001)</w:t>
      </w:r>
    </w:p>
    <w:p w:rsidR="0027071E" w:rsidRDefault="0027071E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Sugestão de Modelo de Governança proposto pela KPMG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Contratos de Partilha de Produção em vigor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Regimento Interno do Comitê Operacional </w:t>
      </w:r>
      <w:proofErr w:type="gramStart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do(</w:t>
      </w:r>
      <w:proofErr w:type="gramEnd"/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s) CPP(s) em vigor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Lei nº 12.304, 2 de agosto de 2010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Lei nº 12.351, de 22 de dezembro de 2010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Decreto nº 8.063, de 01 de agosto de 2013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Decreto nº 2.705/1998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Lei nº 9.478/1997</w:t>
      </w:r>
    </w:p>
    <w:p w:rsidR="005534B5" w:rsidRPr="005534B5" w:rsidRDefault="005534B5" w:rsidP="005534B5">
      <w:pPr>
        <w:pStyle w:val="Corpodetexto"/>
        <w:numPr>
          <w:ilvl w:val="0"/>
          <w:numId w:val="1"/>
        </w:numPr>
        <w:kinsoku w:val="0"/>
        <w:overflowPunct w:val="0"/>
        <w:spacing w:line="360" w:lineRule="auto"/>
        <w:ind w:right="26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Portaria ANP n.º 206, de 30 de agosto de 2000</w:t>
      </w:r>
    </w:p>
    <w:p w:rsidR="0027071E" w:rsidRPr="005534B5" w:rsidRDefault="0027071E" w:rsidP="007254CF">
      <w:pPr>
        <w:pStyle w:val="Style1"/>
        <w:rPr>
          <w:b/>
          <w:sz w:val="22"/>
          <w:szCs w:val="22"/>
        </w:rPr>
      </w:pPr>
      <w:bookmarkStart w:id="7" w:name="_Toc492662815"/>
      <w:r w:rsidRPr="005534B5">
        <w:rPr>
          <w:b/>
          <w:sz w:val="22"/>
          <w:szCs w:val="22"/>
        </w:rPr>
        <w:t>Definições</w:t>
      </w:r>
      <w:bookmarkEnd w:id="7"/>
    </w:p>
    <w:tbl>
      <w:tblPr>
        <w:tblW w:w="9365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7921"/>
      </w:tblGrid>
      <w:tr w:rsidR="0027071E" w:rsidRPr="005534B5" w:rsidTr="00CE6C54">
        <w:trPr>
          <w:cantSplit/>
          <w:trHeight w:val="57"/>
          <w:tblHeader/>
        </w:trPr>
        <w:tc>
          <w:tcPr>
            <w:tcW w:w="1444" w:type="dxa"/>
            <w:shd w:val="clear" w:color="auto" w:fill="808080" w:themeFill="background1" w:themeFillShade="80"/>
          </w:tcPr>
          <w:p w:rsidR="0027071E" w:rsidRPr="005534B5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Sigla</w:t>
            </w:r>
          </w:p>
        </w:tc>
        <w:tc>
          <w:tcPr>
            <w:tcW w:w="7921" w:type="dxa"/>
            <w:shd w:val="clear" w:color="auto" w:fill="808080" w:themeFill="background1" w:themeFillShade="80"/>
          </w:tcPr>
          <w:p w:rsidR="0027071E" w:rsidRPr="005534B5" w:rsidRDefault="0027071E" w:rsidP="0027071E">
            <w:pPr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b/>
                <w:iCs/>
                <w:color w:val="FFFFFF"/>
                <w:sz w:val="22"/>
                <w:szCs w:val="22"/>
              </w:rPr>
              <w:t>Descrição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AIP</w:t>
            </w:r>
          </w:p>
        </w:tc>
        <w:tc>
          <w:tcPr>
            <w:tcW w:w="7921" w:type="dxa"/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Acordo de Individualização da Produção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5534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ANP</w:t>
            </w:r>
          </w:p>
        </w:tc>
        <w:tc>
          <w:tcPr>
            <w:tcW w:w="7921" w:type="dxa"/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Agência Nacional do Petróleo, Gás Natural e Biocombustíveis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CCO</w:t>
            </w:r>
          </w:p>
        </w:tc>
        <w:tc>
          <w:tcPr>
            <w:tcW w:w="7921" w:type="dxa"/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Conta Custo em Óleo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CPP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Contrato de Partilha da Produção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Diretoria Executiva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DGC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Diretoria de Gestão de Contratos</w:t>
            </w:r>
          </w:p>
        </w:tc>
      </w:tr>
      <w:tr w:rsidR="002676C2" w:rsidRPr="005534B5" w:rsidTr="002676C2">
        <w:trPr>
          <w:trHeight w:val="57"/>
        </w:trPr>
        <w:tc>
          <w:tcPr>
            <w:tcW w:w="1444" w:type="dxa"/>
            <w:vAlign w:val="center"/>
          </w:tcPr>
          <w:p w:rsidR="002676C2" w:rsidRPr="005534B5" w:rsidRDefault="002676C2" w:rsidP="002B46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GCF</w:t>
            </w:r>
          </w:p>
        </w:tc>
        <w:tc>
          <w:tcPr>
            <w:tcW w:w="7921" w:type="dxa"/>
            <w:vAlign w:val="center"/>
          </w:tcPr>
          <w:p w:rsidR="002676C2" w:rsidRPr="005534B5" w:rsidRDefault="002676C2" w:rsidP="002B46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Gerência de Controle e Finanças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Gerência Executiva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NN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Limite mensal para recuperação do Custo em Óleo</w:t>
            </w:r>
          </w:p>
        </w:tc>
      </w:tr>
      <w:tr w:rsidR="002676C2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SDP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2676C2" w:rsidRPr="005534B5" w:rsidRDefault="002676C2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Superintendência de Desenvolvimento e Produção</w:t>
            </w:r>
          </w:p>
        </w:tc>
      </w:tr>
      <w:tr w:rsidR="002676C2" w:rsidRPr="005534B5" w:rsidTr="00AD5E3A">
        <w:trPr>
          <w:trHeight w:val="57"/>
        </w:trPr>
        <w:tc>
          <w:tcPr>
            <w:tcW w:w="1444" w:type="dxa"/>
            <w:vAlign w:val="center"/>
          </w:tcPr>
          <w:p w:rsidR="002676C2" w:rsidRPr="005534B5" w:rsidRDefault="00511977" w:rsidP="002676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SGPP</w:t>
            </w:r>
          </w:p>
        </w:tc>
        <w:tc>
          <w:tcPr>
            <w:tcW w:w="7921" w:type="dxa"/>
            <w:vAlign w:val="center"/>
          </w:tcPr>
          <w:p w:rsidR="002676C2" w:rsidRPr="005534B5" w:rsidRDefault="001C6734" w:rsidP="005119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Sistema de Gestão de Gastos de Partilha de Produção</w:t>
            </w:r>
          </w:p>
        </w:tc>
      </w:tr>
      <w:tr w:rsidR="00AD5E3A" w:rsidRPr="005534B5" w:rsidTr="00896E95">
        <w:trPr>
          <w:trHeight w:val="57"/>
        </w:trPr>
        <w:tc>
          <w:tcPr>
            <w:tcW w:w="1444" w:type="dxa"/>
            <w:tcBorders>
              <w:bottom w:val="single" w:sz="6" w:space="0" w:color="auto"/>
            </w:tcBorders>
            <w:vAlign w:val="center"/>
          </w:tcPr>
          <w:p w:rsidR="00AD5E3A" w:rsidRPr="005534B5" w:rsidRDefault="00AD5E3A" w:rsidP="002676C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VBP</w:t>
            </w:r>
          </w:p>
        </w:tc>
        <w:tc>
          <w:tcPr>
            <w:tcW w:w="7921" w:type="dxa"/>
            <w:tcBorders>
              <w:bottom w:val="single" w:sz="6" w:space="0" w:color="auto"/>
            </w:tcBorders>
            <w:vAlign w:val="center"/>
          </w:tcPr>
          <w:p w:rsidR="00AD5E3A" w:rsidRPr="005534B5" w:rsidRDefault="00AD5E3A" w:rsidP="005119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34B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Valor Bruto da Produção</w:t>
            </w:r>
          </w:p>
        </w:tc>
      </w:tr>
    </w:tbl>
    <w:p w:rsidR="0027071E" w:rsidRPr="005534B5" w:rsidRDefault="0027071E" w:rsidP="0027071E">
      <w:pPr>
        <w:rPr>
          <w:sz w:val="22"/>
          <w:szCs w:val="22"/>
        </w:rPr>
      </w:pPr>
    </w:p>
    <w:p w:rsidR="00EE0DBC" w:rsidRPr="005534B5" w:rsidRDefault="00EE0DBC" w:rsidP="008A2264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AIP: Acordo de Individualização da Produção, acordo celebrado entre os detentores de direitos de Exploração e Produção, após a Declaração de Comercialidade, para o Desenvolvimento e Produção unificados de Jazidas que se estendam além da Área do Contrato, c</w:t>
      </w:r>
      <w:r w:rsidR="007F4E68" w:rsidRPr="005534B5">
        <w:rPr>
          <w:rFonts w:eastAsia="Times New Roman" w:cstheme="minorHAnsi"/>
          <w:lang w:eastAsia="pt-BR"/>
        </w:rPr>
        <w:t>onforme previsto na Lei n</w:t>
      </w:r>
      <w:r w:rsidRPr="005534B5">
        <w:rPr>
          <w:rFonts w:eastAsia="Times New Roman" w:cstheme="minorHAnsi"/>
          <w:lang w:eastAsia="pt-BR"/>
        </w:rPr>
        <w:t>º 12.351/2010 e na Legislação Aplicável.</w:t>
      </w:r>
    </w:p>
    <w:p w:rsidR="00255FA8" w:rsidRPr="005534B5" w:rsidRDefault="0027071E" w:rsidP="008A2264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CPP: Contrato de Partilha de Produção, onde a propriedade do recurso permanece sob o poder do Estado e a empresa operadora é contratada para explorar e produzir petróleo e gás natural, tendo como retorno uma parcela da produção.</w:t>
      </w:r>
    </w:p>
    <w:p w:rsidR="0027071E" w:rsidRPr="005534B5" w:rsidRDefault="00511977" w:rsidP="000C6A5A">
      <w:pPr>
        <w:pStyle w:val="Body"/>
        <w:numPr>
          <w:ilvl w:val="1"/>
          <w:numId w:val="2"/>
        </w:numPr>
        <w:spacing w:line="360" w:lineRule="auto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SGPP</w:t>
      </w:r>
      <w:r w:rsidR="0027071E" w:rsidRPr="005534B5">
        <w:rPr>
          <w:rFonts w:eastAsia="Times New Roman" w:cstheme="minorHAnsi"/>
          <w:lang w:eastAsia="pt-BR"/>
        </w:rPr>
        <w:t xml:space="preserve">: </w:t>
      </w:r>
      <w:r w:rsidR="001C6734">
        <w:rPr>
          <w:rFonts w:cstheme="minorHAnsi"/>
        </w:rPr>
        <w:t>Sistema de Gestão de Gastos de Partilha de Produção</w:t>
      </w:r>
      <w:r w:rsidR="0027071E" w:rsidRPr="005534B5">
        <w:rPr>
          <w:rFonts w:eastAsia="Times New Roman" w:cstheme="minorHAnsi"/>
          <w:lang w:eastAsia="pt-BR"/>
        </w:rPr>
        <w:t xml:space="preserve"> planejado para atender ao gerenciamento dos contratos de partilha e de comercialização de petróleo e gás natural.</w:t>
      </w:r>
    </w:p>
    <w:p w:rsidR="007254CF" w:rsidRPr="005534B5" w:rsidRDefault="00235BA2" w:rsidP="007254CF">
      <w:pPr>
        <w:pStyle w:val="Style1"/>
        <w:rPr>
          <w:b/>
          <w:sz w:val="22"/>
          <w:szCs w:val="22"/>
        </w:rPr>
      </w:pPr>
      <w:bookmarkStart w:id="8" w:name="_Toc492662816"/>
      <w:r w:rsidRPr="005534B5">
        <w:rPr>
          <w:b/>
          <w:sz w:val="22"/>
          <w:szCs w:val="22"/>
        </w:rPr>
        <w:t>A</w:t>
      </w:r>
      <w:r w:rsidR="0027071E" w:rsidRPr="005534B5">
        <w:rPr>
          <w:b/>
          <w:sz w:val="22"/>
          <w:szCs w:val="22"/>
        </w:rPr>
        <w:t>utoridade e Competência</w:t>
      </w:r>
      <w:r w:rsidR="001C6734">
        <w:rPr>
          <w:b/>
          <w:sz w:val="22"/>
          <w:szCs w:val="22"/>
        </w:rPr>
        <w:t>s</w:t>
      </w:r>
      <w:bookmarkEnd w:id="8"/>
    </w:p>
    <w:p w:rsidR="007254CF" w:rsidRPr="001C6734" w:rsidRDefault="0027071E" w:rsidP="001C6734">
      <w:pPr>
        <w:pStyle w:val="Body"/>
        <w:numPr>
          <w:ilvl w:val="1"/>
          <w:numId w:val="2"/>
        </w:numPr>
        <w:rPr>
          <w:b/>
        </w:rPr>
      </w:pPr>
      <w:r w:rsidRPr="001C6734">
        <w:rPr>
          <w:b/>
        </w:rPr>
        <w:t>A</w:t>
      </w:r>
      <w:r w:rsidR="00235BA2" w:rsidRPr="001C6734">
        <w:rPr>
          <w:b/>
        </w:rPr>
        <w:t>provação e Atualização</w:t>
      </w:r>
    </w:p>
    <w:p w:rsidR="002676C2" w:rsidRPr="005534B5" w:rsidRDefault="002676C2" w:rsidP="001C6734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A versão inicial e as revisões desse documento devem ser aprovadas conforme a Estrutura de Comitês de Governança prevista no Modelo de Governança dos Processos. As revisões no procedimento e no fluxograma (Padrão de Processo - Anexo I) do processo de Recuperação do Custo em Óleo deverão ser realizadas simultaneamente e de acordo com o Ciclo de Revisão dos Processos, visando incorporar melhorias e novos sistemas, atender às políticas, diretrizes e padrões da empresa, deliberações da Diretoria, além de leis, decretos e resoluções da ANP.</w:t>
      </w:r>
    </w:p>
    <w:p w:rsidR="00235BA2" w:rsidRPr="001C6734" w:rsidRDefault="00235BA2" w:rsidP="001C6734">
      <w:pPr>
        <w:pStyle w:val="Body"/>
        <w:numPr>
          <w:ilvl w:val="1"/>
          <w:numId w:val="2"/>
        </w:numPr>
        <w:rPr>
          <w:b/>
        </w:rPr>
      </w:pPr>
      <w:r w:rsidRPr="001C6734">
        <w:rPr>
          <w:b/>
        </w:rPr>
        <w:t>Responsáveis pela Execução</w:t>
      </w:r>
    </w:p>
    <w:p w:rsidR="002676C2" w:rsidRPr="005534B5" w:rsidRDefault="002676C2" w:rsidP="001C6734">
      <w:pPr>
        <w:pStyle w:val="Corpodetexto"/>
        <w:kinsoku w:val="0"/>
        <w:overflowPunct w:val="0"/>
        <w:spacing w:before="120" w:line="360" w:lineRule="auto"/>
        <w:ind w:left="794" w:right="28" w:firstLine="278"/>
        <w:rPr>
          <w:rFonts w:asciiTheme="minorHAnsi" w:hAnsiTheme="minorHAnsi" w:cstheme="minorHAnsi"/>
          <w:bCs w:val="0"/>
          <w:i w:val="0"/>
          <w:iCs w:val="0"/>
          <w:szCs w:val="22"/>
        </w:rPr>
      </w:pP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São responsáveis pela execução do processo os colaboradores das áreas técnicas e administrativas indicados para analisar e propor os custos a serem recuperados no processo para os gestores da Empresa. A rotina de cálculo é realizada de forma automática pelo </w:t>
      </w:r>
      <w:r w:rsidR="00511977"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SGPP</w:t>
      </w: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(</w:t>
      </w:r>
      <w:r w:rsidR="006065AE" w:rsidRPr="006065AE">
        <w:rPr>
          <w:rFonts w:asciiTheme="minorHAnsi" w:hAnsiTheme="minorHAnsi" w:cstheme="minorHAnsi"/>
          <w:bCs w:val="0"/>
          <w:i w:val="0"/>
          <w:iCs w:val="0"/>
          <w:szCs w:val="22"/>
        </w:rPr>
        <w:t>Sistema de Gestão de Gastos de Partilha de Produção</w:t>
      </w: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) com o suporte da SDP (Superintendência de Desenvolvimento e Produção) e da GCF (Gerência de Controle</w:t>
      </w:r>
      <w:r w:rsidR="002B46A6"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 xml:space="preserve"> </w:t>
      </w:r>
      <w:r w:rsidRPr="005534B5">
        <w:rPr>
          <w:rFonts w:asciiTheme="minorHAnsi" w:hAnsiTheme="minorHAnsi" w:cstheme="minorHAnsi"/>
          <w:bCs w:val="0"/>
          <w:i w:val="0"/>
          <w:iCs w:val="0"/>
          <w:szCs w:val="22"/>
        </w:rPr>
        <w:t>e Finanças). Para detalhamento dos Papéis e Responsabilidades vide Anexo II deste documento.</w:t>
      </w:r>
    </w:p>
    <w:p w:rsidR="0027071E" w:rsidRPr="005534B5" w:rsidRDefault="00235BA2" w:rsidP="007254CF">
      <w:pPr>
        <w:pStyle w:val="Style1"/>
        <w:rPr>
          <w:b/>
          <w:sz w:val="22"/>
          <w:szCs w:val="22"/>
        </w:rPr>
      </w:pPr>
      <w:bookmarkStart w:id="9" w:name="_Toc492662817"/>
      <w:r w:rsidRPr="005534B5">
        <w:rPr>
          <w:b/>
          <w:sz w:val="22"/>
          <w:szCs w:val="22"/>
        </w:rPr>
        <w:lastRenderedPageBreak/>
        <w:t>Descrição</w:t>
      </w:r>
      <w:bookmarkEnd w:id="9"/>
    </w:p>
    <w:p w:rsidR="00255FA8" w:rsidRPr="005534B5" w:rsidRDefault="00255FA8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0" w:name="_Toc492662818"/>
      <w:r w:rsidRPr="005534B5">
        <w:rPr>
          <w:b/>
          <w:sz w:val="22"/>
          <w:szCs w:val="22"/>
        </w:rPr>
        <w:t>Descrição Geral do Processo</w:t>
      </w:r>
      <w:bookmarkEnd w:id="10"/>
    </w:p>
    <w:p w:rsidR="002676C2" w:rsidRPr="005534B5" w:rsidRDefault="002676C2" w:rsidP="002676C2">
      <w:pPr>
        <w:pStyle w:val="Body"/>
        <w:spacing w:line="360" w:lineRule="auto"/>
        <w:ind w:left="672" w:firstLine="42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 xml:space="preserve">Os custos reconhecidos pela </w:t>
      </w:r>
      <w:r w:rsidR="00511977" w:rsidRPr="005534B5">
        <w:rPr>
          <w:rFonts w:eastAsia="Times New Roman" w:cstheme="minorHAnsi"/>
          <w:lang w:eastAsia="pt-BR"/>
        </w:rPr>
        <w:t>Pré-Sal Petróleo</w:t>
      </w:r>
      <w:r w:rsidRPr="005534B5">
        <w:rPr>
          <w:rFonts w:eastAsia="Times New Roman" w:cstheme="minorHAnsi"/>
          <w:lang w:eastAsia="pt-BR"/>
        </w:rPr>
        <w:t xml:space="preserve"> poderão ser recuperados pelo Operador e Consorciados como Custo em Óleo. Esse processo contempla as seguintes etapas:</w:t>
      </w:r>
    </w:p>
    <w:p w:rsidR="00AB5D0E" w:rsidRPr="005534B5" w:rsidRDefault="00AB5D0E" w:rsidP="002676C2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Envio pelo Operador do Valor Bruto da Produção (</w:t>
      </w:r>
      <w:proofErr w:type="spellStart"/>
      <w:r w:rsidRPr="005534B5">
        <w:rPr>
          <w:rFonts w:eastAsia="Times New Roman" w:cstheme="minorHAnsi"/>
          <w:lang w:eastAsia="pt-BR"/>
        </w:rPr>
        <w:t>bbl</w:t>
      </w:r>
      <w:proofErr w:type="spellEnd"/>
      <w:r w:rsidRPr="005534B5">
        <w:rPr>
          <w:rFonts w:eastAsia="Times New Roman" w:cstheme="minorHAnsi"/>
          <w:lang w:eastAsia="pt-BR"/>
        </w:rPr>
        <w:t>) e do Preço de Referência através do SGPP;</w:t>
      </w:r>
    </w:p>
    <w:p w:rsidR="002676C2" w:rsidRPr="005534B5" w:rsidRDefault="002676C2" w:rsidP="002676C2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Consulta sistêmica do saldo acumulado da Conta Custo em Óleo (conta que recebe o input dos custos reconhecidos no processo de Reconhecimento do Custo em Óleo);</w:t>
      </w:r>
    </w:p>
    <w:p w:rsidR="002676C2" w:rsidRPr="005534B5" w:rsidRDefault="002676C2" w:rsidP="002676C2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Verificação do valor do saldo identificando se há crédito para o Operador e seus Consorciados;</w:t>
      </w:r>
    </w:p>
    <w:p w:rsidR="002676C2" w:rsidRPr="005534B5" w:rsidRDefault="002676C2" w:rsidP="002676C2">
      <w:pPr>
        <w:pStyle w:val="Body"/>
        <w:numPr>
          <w:ilvl w:val="0"/>
          <w:numId w:val="3"/>
        </w:numPr>
        <w:spacing w:line="360" w:lineRule="auto"/>
        <w:ind w:left="1092" w:firstLine="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Cálculo automático do valor a ser recuperado em óleo aplicando as regras estabelecidas no contrato (respeitando o limite mensal “NN” para recuperação do Custo em Óleo do Valor Bruto da Produção);</w:t>
      </w:r>
    </w:p>
    <w:p w:rsidR="0027071E" w:rsidRPr="005534B5" w:rsidRDefault="002676C2" w:rsidP="002676C2">
      <w:pPr>
        <w:pStyle w:val="Body"/>
        <w:numPr>
          <w:ilvl w:val="0"/>
          <w:numId w:val="3"/>
        </w:numPr>
        <w:spacing w:line="360" w:lineRule="auto"/>
        <w:ind w:left="672" w:firstLine="42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Atualização automática do saldo da Conta Custo em Óleo.</w:t>
      </w:r>
    </w:p>
    <w:p w:rsidR="00235BA2" w:rsidRPr="005534B5" w:rsidRDefault="00235BA2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1" w:name="_Toc492662819"/>
      <w:r w:rsidRPr="005534B5">
        <w:rPr>
          <w:b/>
          <w:sz w:val="22"/>
          <w:szCs w:val="22"/>
        </w:rPr>
        <w:t xml:space="preserve">Validações e Cálculos do </w:t>
      </w:r>
      <w:r w:rsidR="00511977" w:rsidRPr="005534B5">
        <w:rPr>
          <w:b/>
          <w:sz w:val="22"/>
          <w:szCs w:val="22"/>
        </w:rPr>
        <w:t>SGPP</w:t>
      </w:r>
      <w:bookmarkEnd w:id="11"/>
    </w:p>
    <w:p w:rsidR="00AB5D0E" w:rsidRPr="005534B5" w:rsidRDefault="002676C2" w:rsidP="00AB5D0E">
      <w:pPr>
        <w:pStyle w:val="Body"/>
        <w:spacing w:line="360" w:lineRule="auto"/>
        <w:ind w:left="658" w:firstLine="360"/>
        <w:rPr>
          <w:rFonts w:eastAsia="Times New Roman" w:cstheme="minorHAnsi"/>
          <w:lang w:eastAsia="pt-BR"/>
        </w:rPr>
      </w:pPr>
      <w:r w:rsidRPr="005534B5">
        <w:rPr>
          <w:rFonts w:eastAsia="Times New Roman" w:cstheme="minorHAnsi"/>
          <w:lang w:eastAsia="pt-BR"/>
        </w:rPr>
        <w:t>No processo de Recuperação Mensal do Custo em Óleo, os dados de entrada são todos os custos reconhecidos acumulados no saldo da Conta Custo em Óleo (</w:t>
      </w:r>
      <w:r w:rsidR="00AB5D0E" w:rsidRPr="005534B5">
        <w:rPr>
          <w:rFonts w:eastAsia="Times New Roman" w:cstheme="minorHAnsi"/>
          <w:lang w:eastAsia="pt-BR"/>
        </w:rPr>
        <w:t>disponibilizados automaticamente pelo sistema</w:t>
      </w:r>
      <w:r w:rsidRPr="005534B5">
        <w:rPr>
          <w:rFonts w:eastAsia="Times New Roman" w:cstheme="minorHAnsi"/>
          <w:lang w:eastAsia="pt-BR"/>
        </w:rPr>
        <w:t>)</w:t>
      </w:r>
      <w:r w:rsidR="00AB5D0E" w:rsidRPr="005534B5">
        <w:rPr>
          <w:rFonts w:eastAsia="Times New Roman" w:cstheme="minorHAnsi"/>
          <w:lang w:eastAsia="pt-BR"/>
        </w:rPr>
        <w:t xml:space="preserve"> e o Valor Bruto da Produção (</w:t>
      </w:r>
      <w:proofErr w:type="spellStart"/>
      <w:r w:rsidR="00AB5D0E" w:rsidRPr="005534B5">
        <w:rPr>
          <w:rFonts w:eastAsia="Times New Roman" w:cstheme="minorHAnsi"/>
          <w:lang w:eastAsia="pt-BR"/>
        </w:rPr>
        <w:t>bbl</w:t>
      </w:r>
      <w:proofErr w:type="spellEnd"/>
      <w:r w:rsidR="00AB5D0E" w:rsidRPr="005534B5">
        <w:rPr>
          <w:rFonts w:eastAsia="Times New Roman" w:cstheme="minorHAnsi"/>
          <w:lang w:eastAsia="pt-BR"/>
        </w:rPr>
        <w:t>) e Preço de Referência (</w:t>
      </w:r>
      <w:r w:rsidRPr="005534B5">
        <w:rPr>
          <w:rFonts w:eastAsia="Times New Roman" w:cstheme="minorHAnsi"/>
          <w:lang w:eastAsia="pt-BR"/>
        </w:rPr>
        <w:t>disponibilizado</w:t>
      </w:r>
      <w:r w:rsidR="00AB5D0E" w:rsidRPr="005534B5">
        <w:rPr>
          <w:rFonts w:eastAsia="Times New Roman" w:cstheme="minorHAnsi"/>
          <w:lang w:eastAsia="pt-BR"/>
        </w:rPr>
        <w:t xml:space="preserve"> pelo Operador </w:t>
      </w:r>
      <w:r w:rsidRPr="005534B5">
        <w:rPr>
          <w:rFonts w:eastAsia="Times New Roman" w:cstheme="minorHAnsi"/>
          <w:lang w:eastAsia="pt-BR"/>
        </w:rPr>
        <w:t>no sistema</w:t>
      </w:r>
      <w:r w:rsidR="00AB5D0E" w:rsidRPr="005534B5">
        <w:rPr>
          <w:rFonts w:eastAsia="Times New Roman" w:cstheme="minorHAnsi"/>
          <w:lang w:eastAsia="pt-BR"/>
        </w:rPr>
        <w:t>)</w:t>
      </w:r>
      <w:r w:rsidRPr="005534B5">
        <w:rPr>
          <w:rFonts w:eastAsia="Times New Roman" w:cstheme="minorHAnsi"/>
          <w:lang w:eastAsia="pt-BR"/>
        </w:rPr>
        <w:t xml:space="preserve">. Mensalmente, o sistema calculará o limite “NN” de custos a serem recuperados, o qual varia ao longo do tempo segundo as regras dos respectivos contratos, e debitará este custo do crédito da CCO. As saídas deste processo serão o valor mensal do custo recuperado e o saldo atualizado da CCO, para disponibilização interna na </w:t>
      </w:r>
      <w:r w:rsidR="00511977" w:rsidRPr="005534B5">
        <w:rPr>
          <w:rFonts w:eastAsia="Times New Roman" w:cstheme="minorHAnsi"/>
          <w:lang w:eastAsia="pt-BR"/>
        </w:rPr>
        <w:t>Pré-Sal Petróleo</w:t>
      </w:r>
      <w:r w:rsidRPr="005534B5">
        <w:rPr>
          <w:rFonts w:eastAsia="Times New Roman" w:cstheme="minorHAnsi"/>
          <w:lang w:eastAsia="pt-BR"/>
        </w:rPr>
        <w:t xml:space="preserve"> e externa ao Operador e Consorciados.</w:t>
      </w:r>
    </w:p>
    <w:p w:rsidR="00F47E29" w:rsidRDefault="00AB5D0E" w:rsidP="00AB5D0E">
      <w:pPr>
        <w:pStyle w:val="Body"/>
        <w:spacing w:before="0" w:line="240" w:lineRule="auto"/>
        <w:ind w:left="709"/>
        <w:rPr>
          <w:rFonts w:eastAsia="Times New Roman" w:cstheme="minorHAnsi"/>
          <w:sz w:val="20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556925BA" wp14:editId="54D742A8">
            <wp:extent cx="5867400" cy="63454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6369" cy="644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2676C2" w:rsidRPr="002676C2">
        <w:rPr>
          <w:rFonts w:eastAsia="Times New Roman" w:cstheme="minorHAnsi"/>
          <w:sz w:val="20"/>
          <w:szCs w:val="24"/>
          <w:lang w:eastAsia="pt-BR"/>
        </w:rPr>
        <w:t xml:space="preserve">Figura 1: Validações e Cálculos </w:t>
      </w:r>
      <w:r w:rsidR="00AF5C44">
        <w:rPr>
          <w:rFonts w:eastAsia="Times New Roman" w:cstheme="minorHAnsi"/>
          <w:sz w:val="20"/>
          <w:szCs w:val="24"/>
          <w:lang w:eastAsia="pt-BR"/>
        </w:rPr>
        <w:t>do Processo</w:t>
      </w:r>
    </w:p>
    <w:p w:rsidR="00F47E29" w:rsidRPr="005534B5" w:rsidRDefault="00F47E29" w:rsidP="002676C2">
      <w:pPr>
        <w:pStyle w:val="Style2"/>
        <w:numPr>
          <w:ilvl w:val="1"/>
          <w:numId w:val="2"/>
        </w:numPr>
        <w:spacing w:before="240"/>
        <w:rPr>
          <w:b/>
          <w:sz w:val="22"/>
          <w:szCs w:val="22"/>
        </w:rPr>
      </w:pPr>
      <w:bookmarkStart w:id="12" w:name="_Toc492662820"/>
      <w:r w:rsidRPr="005534B5">
        <w:rPr>
          <w:b/>
          <w:sz w:val="22"/>
          <w:szCs w:val="22"/>
        </w:rPr>
        <w:t>Procedimento</w:t>
      </w:r>
      <w:r w:rsidR="00255FA8" w:rsidRPr="005534B5">
        <w:rPr>
          <w:b/>
          <w:sz w:val="22"/>
          <w:szCs w:val="22"/>
        </w:rPr>
        <w:t xml:space="preserve"> </w:t>
      </w:r>
      <w:r w:rsidRPr="005534B5">
        <w:rPr>
          <w:b/>
          <w:sz w:val="22"/>
          <w:szCs w:val="22"/>
        </w:rPr>
        <w:t xml:space="preserve">de </w:t>
      </w:r>
      <w:r w:rsidR="002676C2" w:rsidRPr="005534B5">
        <w:rPr>
          <w:b/>
          <w:sz w:val="22"/>
          <w:szCs w:val="22"/>
        </w:rPr>
        <w:t>Recuperação do Custo em Óleo</w:t>
      </w:r>
      <w:bookmarkEnd w:id="12"/>
    </w:p>
    <w:p w:rsidR="00AB5D0E" w:rsidRPr="005534B5" w:rsidRDefault="002676C2" w:rsidP="002676C2">
      <w:pPr>
        <w:spacing w:line="360" w:lineRule="auto"/>
        <w:ind w:left="709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O processo de Recuperação do Custo em Óleo tem como insumo</w:t>
      </w:r>
      <w:r w:rsidR="00AB5D0E" w:rsidRPr="005534B5">
        <w:rPr>
          <w:rFonts w:asciiTheme="minorHAnsi" w:hAnsiTheme="minorHAnsi" w:cstheme="minorHAnsi"/>
          <w:sz w:val="22"/>
          <w:szCs w:val="22"/>
        </w:rPr>
        <w:t>s:</w:t>
      </w:r>
    </w:p>
    <w:p w:rsidR="00AB5D0E" w:rsidRPr="005534B5" w:rsidRDefault="00AB5D0E" w:rsidP="00AB5D0E">
      <w:pPr>
        <w:spacing w:line="360" w:lineRule="auto"/>
        <w:ind w:left="973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- P</w:t>
      </w:r>
      <w:r w:rsidR="002676C2" w:rsidRPr="005534B5">
        <w:rPr>
          <w:rFonts w:asciiTheme="minorHAnsi" w:hAnsiTheme="minorHAnsi" w:cstheme="minorHAnsi"/>
          <w:sz w:val="22"/>
          <w:szCs w:val="22"/>
        </w:rPr>
        <w:t>rocesso de “Gestão da Conta Custo em Óleo”</w:t>
      </w:r>
      <w:r w:rsidRPr="005534B5">
        <w:rPr>
          <w:rFonts w:asciiTheme="minorHAnsi" w:hAnsiTheme="minorHAnsi" w:cstheme="minorHAnsi"/>
          <w:sz w:val="22"/>
          <w:szCs w:val="22"/>
        </w:rPr>
        <w:t>;</w:t>
      </w:r>
      <w:r w:rsidR="00BF27AA" w:rsidRPr="005534B5">
        <w:rPr>
          <w:rFonts w:asciiTheme="minorHAnsi" w:hAnsiTheme="minorHAnsi" w:cstheme="minorHAnsi"/>
          <w:sz w:val="22"/>
          <w:szCs w:val="22"/>
        </w:rPr>
        <w:t xml:space="preserve"> e</w:t>
      </w:r>
    </w:p>
    <w:p w:rsidR="00AB5D0E" w:rsidRPr="005534B5" w:rsidRDefault="00AB5D0E" w:rsidP="00AB5D0E">
      <w:pPr>
        <w:spacing w:line="360" w:lineRule="auto"/>
        <w:ind w:left="1237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lastRenderedPageBreak/>
        <w:t>- Dados enviados pelo Operador através do SGPP: Valor Bruto da Produção (</w:t>
      </w:r>
      <w:proofErr w:type="spellStart"/>
      <w:r w:rsidRPr="005534B5">
        <w:rPr>
          <w:rFonts w:asciiTheme="minorHAnsi" w:hAnsiTheme="minorHAnsi" w:cstheme="minorHAnsi"/>
          <w:sz w:val="22"/>
          <w:szCs w:val="22"/>
        </w:rPr>
        <w:t>bbl</w:t>
      </w:r>
      <w:proofErr w:type="spellEnd"/>
      <w:r w:rsidRPr="005534B5">
        <w:rPr>
          <w:rFonts w:asciiTheme="minorHAnsi" w:hAnsiTheme="minorHAnsi" w:cstheme="minorHAnsi"/>
          <w:sz w:val="22"/>
          <w:szCs w:val="22"/>
        </w:rPr>
        <w:t>) e Preço de Referência.</w:t>
      </w:r>
    </w:p>
    <w:p w:rsidR="002676C2" w:rsidRPr="005534B5" w:rsidRDefault="002676C2" w:rsidP="002676C2">
      <w:pPr>
        <w:spacing w:line="360" w:lineRule="auto"/>
        <w:ind w:left="709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 </w:t>
      </w:r>
      <w:r w:rsidR="00AB5D0E" w:rsidRPr="005534B5">
        <w:rPr>
          <w:rFonts w:asciiTheme="minorHAnsi" w:hAnsiTheme="minorHAnsi" w:cstheme="minorHAnsi"/>
          <w:sz w:val="22"/>
          <w:szCs w:val="22"/>
        </w:rPr>
        <w:t>E</w:t>
      </w:r>
      <w:r w:rsidRPr="005534B5">
        <w:rPr>
          <w:rFonts w:asciiTheme="minorHAnsi" w:hAnsiTheme="minorHAnsi" w:cstheme="minorHAnsi"/>
          <w:sz w:val="22"/>
          <w:szCs w:val="22"/>
        </w:rPr>
        <w:t xml:space="preserve"> se inicia através das atividades a seguir:</w:t>
      </w:r>
    </w:p>
    <w:p w:rsidR="00AD5E3A" w:rsidRPr="005534B5" w:rsidRDefault="00AD5E3A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>Inclusão de dados no SGPP pelo Operador – Atividades 1 a 3, ilustradas no Padrão de Processo (Anexo I)</w:t>
      </w:r>
    </w:p>
    <w:p w:rsidR="00AD5E3A" w:rsidRPr="005534B5" w:rsidRDefault="00AD5E3A" w:rsidP="00AD5E3A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ab/>
        <w:t xml:space="preserve">A inclusão dos dados referentes ao Valor Bruto da Produção e os Preços de Referência é realizada pelos Operadores dos </w:t>
      </w:r>
      <w:proofErr w:type="spellStart"/>
      <w:r w:rsidRPr="005534B5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5534B5">
        <w:rPr>
          <w:rFonts w:asciiTheme="minorHAnsi" w:hAnsiTheme="minorHAnsi" w:cstheme="minorHAnsi"/>
          <w:sz w:val="22"/>
          <w:szCs w:val="22"/>
        </w:rPr>
        <w:t xml:space="preserve"> através do SGPP dentro do formato e prazo estipulados previamente pela Pré-Sal Petróleo, respeitando a particularidade de cada contrato.</w:t>
      </w:r>
    </w:p>
    <w:p w:rsidR="00AD5E3A" w:rsidRPr="005534B5" w:rsidRDefault="00AD5E3A" w:rsidP="00AD5E3A">
      <w:pPr>
        <w:spacing w:line="360" w:lineRule="auto"/>
        <w:ind w:left="998" w:firstLine="26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ab/>
        <w:t>Após a inclusão dos dados no sistema, este irá executar a validação automática (verificação de consistência) dos dados, conforme as seguintes premissas:</w:t>
      </w:r>
    </w:p>
    <w:p w:rsidR="00AD5E3A" w:rsidRPr="005534B5" w:rsidRDefault="00AD5E3A" w:rsidP="00AD5E3A">
      <w:pPr>
        <w:pStyle w:val="PargrafodaLista"/>
        <w:numPr>
          <w:ilvl w:val="0"/>
          <w:numId w:val="22"/>
        </w:numPr>
        <w:spacing w:after="200" w:line="360" w:lineRule="auto"/>
        <w:ind w:left="176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534B5">
        <w:rPr>
          <w:rFonts w:asciiTheme="minorHAnsi" w:eastAsia="Times New Roman" w:hAnsiTheme="minorHAnsi" w:cstheme="minorHAnsi"/>
          <w:sz w:val="22"/>
          <w:szCs w:val="22"/>
        </w:rPr>
        <w:t>Se todos os arquivos inseridos no SGPP foram carregados e possuem informações (não são arquivos vazios);</w:t>
      </w:r>
    </w:p>
    <w:p w:rsidR="00AD5E3A" w:rsidRPr="005534B5" w:rsidRDefault="00AD5E3A" w:rsidP="00AD5E3A">
      <w:pPr>
        <w:pStyle w:val="PargrafodaLista"/>
        <w:numPr>
          <w:ilvl w:val="0"/>
          <w:numId w:val="22"/>
        </w:numPr>
        <w:spacing w:after="200" w:line="360" w:lineRule="auto"/>
        <w:ind w:left="176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534B5">
        <w:rPr>
          <w:rFonts w:asciiTheme="minorHAnsi" w:eastAsia="Times New Roman" w:hAnsiTheme="minorHAnsi" w:cstheme="minorHAnsi"/>
          <w:sz w:val="22"/>
          <w:szCs w:val="22"/>
        </w:rPr>
        <w:t>Se todos os arquivos estão no formato acordado; e</w:t>
      </w:r>
    </w:p>
    <w:p w:rsidR="00AD5E3A" w:rsidRPr="005534B5" w:rsidRDefault="00AD5E3A" w:rsidP="00AD5E3A">
      <w:pPr>
        <w:pStyle w:val="PargrafodaLista"/>
        <w:numPr>
          <w:ilvl w:val="0"/>
          <w:numId w:val="22"/>
        </w:numPr>
        <w:spacing w:line="360" w:lineRule="auto"/>
        <w:ind w:left="1763" w:hanging="35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534B5">
        <w:rPr>
          <w:rFonts w:asciiTheme="minorHAnsi" w:eastAsia="Times New Roman" w:hAnsiTheme="minorHAnsi" w:cstheme="minorHAnsi"/>
          <w:sz w:val="22"/>
          <w:szCs w:val="22"/>
        </w:rPr>
        <w:t xml:space="preserve">Se o conteúdo de todos os arquivos possui seus campos preenchidos no formato, unidade e precisão, </w:t>
      </w:r>
      <w:proofErr w:type="spellStart"/>
      <w:r w:rsidRPr="005534B5">
        <w:rPr>
          <w:rFonts w:asciiTheme="minorHAnsi" w:eastAsia="Times New Roman" w:hAnsiTheme="minorHAnsi" w:cstheme="minorHAnsi"/>
          <w:sz w:val="22"/>
          <w:szCs w:val="22"/>
        </w:rPr>
        <w:t>etc</w:t>
      </w:r>
      <w:proofErr w:type="spellEnd"/>
      <w:r w:rsidRPr="005534B5">
        <w:rPr>
          <w:rFonts w:asciiTheme="minorHAnsi" w:eastAsia="Times New Roman" w:hAnsiTheme="minorHAnsi" w:cstheme="minorHAnsi"/>
          <w:sz w:val="22"/>
          <w:szCs w:val="22"/>
        </w:rPr>
        <w:t>, conforme critérios acordados.</w:t>
      </w:r>
    </w:p>
    <w:p w:rsidR="00AD5E3A" w:rsidRPr="005534B5" w:rsidRDefault="00AD5E3A" w:rsidP="00AD5E3A">
      <w:pPr>
        <w:spacing w:line="360" w:lineRule="auto"/>
        <w:ind w:left="998" w:firstLine="418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Caso os dados não sejam validados, o sistema retornará ao Operador uma mensagem de erro e/ou carregamento de dados não concluído ao Operador que deverá realizar as correções necessárias, conforme indicação da validação sistêmica e carregar os dados novamente.</w:t>
      </w:r>
    </w:p>
    <w:p w:rsidR="002676C2" w:rsidRPr="005534B5" w:rsidRDefault="002676C2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 xml:space="preserve">Disponibilização do Saldo da CCO atualizado no </w:t>
      </w:r>
      <w:r w:rsidR="00511977" w:rsidRPr="005534B5">
        <w:rPr>
          <w:b/>
          <w:sz w:val="22"/>
          <w:szCs w:val="22"/>
        </w:rPr>
        <w:t>SGPP</w:t>
      </w:r>
      <w:r w:rsidRPr="005534B5">
        <w:rPr>
          <w:b/>
          <w:sz w:val="22"/>
          <w:szCs w:val="22"/>
        </w:rPr>
        <w:t xml:space="preserve"> – Atividade </w:t>
      </w:r>
      <w:r w:rsidR="00BF27AA" w:rsidRPr="005534B5">
        <w:rPr>
          <w:b/>
          <w:sz w:val="22"/>
          <w:szCs w:val="22"/>
        </w:rPr>
        <w:t>4</w:t>
      </w:r>
      <w:r w:rsidRPr="005534B5">
        <w:rPr>
          <w:b/>
          <w:sz w:val="22"/>
          <w:szCs w:val="22"/>
        </w:rPr>
        <w:t>, ilustrada no Padrão de Processo (Anexo I)</w:t>
      </w:r>
    </w:p>
    <w:p w:rsidR="002676C2" w:rsidRPr="005534B5" w:rsidRDefault="002676C2" w:rsidP="002676C2">
      <w:pPr>
        <w:spacing w:line="360" w:lineRule="auto"/>
        <w:ind w:left="998" w:firstLine="418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O saldo da CCO é disponibilizado automaticamente pelo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após o processo de Gestão da CCO, com os custos reconhecidos em base mensal.</w:t>
      </w:r>
    </w:p>
    <w:p w:rsidR="002676C2" w:rsidRPr="005534B5" w:rsidRDefault="002676C2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 xml:space="preserve">Rotina de Cálculo Automática dos Custos a serem Recuperados – Atividades </w:t>
      </w:r>
      <w:r w:rsidR="00BF27AA" w:rsidRPr="005534B5">
        <w:rPr>
          <w:b/>
          <w:sz w:val="22"/>
          <w:szCs w:val="22"/>
        </w:rPr>
        <w:t>5</w:t>
      </w:r>
      <w:r w:rsidRPr="005534B5">
        <w:rPr>
          <w:b/>
          <w:sz w:val="22"/>
          <w:szCs w:val="22"/>
        </w:rPr>
        <w:t xml:space="preserve"> a </w:t>
      </w:r>
      <w:r w:rsidR="00BF27AA" w:rsidRPr="005534B5">
        <w:rPr>
          <w:b/>
          <w:sz w:val="22"/>
          <w:szCs w:val="22"/>
        </w:rPr>
        <w:t>8</w:t>
      </w:r>
      <w:r w:rsidRPr="005534B5">
        <w:rPr>
          <w:b/>
          <w:sz w:val="22"/>
          <w:szCs w:val="22"/>
        </w:rPr>
        <w:t>, ilustradas no Padrão de Processo (Anexo I)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="Univers for KPMG" w:hAnsi="Univers for KPMG"/>
          <w:sz w:val="22"/>
          <w:szCs w:val="22"/>
        </w:rPr>
        <w:tab/>
      </w:r>
      <w:r w:rsidRPr="005534B5">
        <w:rPr>
          <w:rFonts w:asciiTheme="minorHAnsi" w:hAnsiTheme="minorHAnsi" w:cstheme="minorHAnsi"/>
          <w:sz w:val="22"/>
          <w:szCs w:val="22"/>
        </w:rPr>
        <w:t xml:space="preserve">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executa a Rotina de Cálculo Automática para encontrar o valor do custo a ser recuperado, conforme as regras estabelecidas e parametrizadas na ferramenta, e obtém com isso o saldo da CCO atualizado.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A Rotina de Cálculo Automática considera as seguintes etapas:</w:t>
      </w:r>
    </w:p>
    <w:p w:rsidR="002676C2" w:rsidRPr="005534B5" w:rsidRDefault="002676C2" w:rsidP="002676C2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lastRenderedPageBreak/>
        <w:t>Consultar o saldo acumulado da Conta Custo em Óleo quanto a créditos e débitos para Operador e Consorciados: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393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Os gastos aprovados pelo Comitê Operacional e posteriormente reconhecidos pela Gestora como Custo em Óleo serão registrados em conta própria, cujo saldo será controlado pela Gestora. O saldo da conta Custo em Óleo, quando positivo, representará crédito para o Consorciado. Portanto nessa etapa o sistema deverá consultar o saldo e identificar se há crédito para que o cálculo possa ser iniciado.</w:t>
      </w:r>
    </w:p>
    <w:p w:rsidR="002676C2" w:rsidRPr="005534B5" w:rsidRDefault="002676C2" w:rsidP="002676C2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Calcular NN (limite mensal para recuperação do custo em óleo):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393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O Consorciado, a cada mês, poderá recuperar o Custo em Óleo, respeitando o limite de 50% (cinquenta por cento) do Valor Bruto da Produção nos dois primeiros anos de Produção e de 30% (trinta por cento) do Valor Bruto da Produção nos anos seguintes, para cada Módulo da Etapa de Desenvolvimento.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393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Após o início da Produção, caso os gastos registrados como Custo em Óleo não sejam recuperados no prazo de 2 (dois) anos a contar da data do seu reconhecimento como crédito para o Consorciado, o limite mensal será aumentado, no período seguinte, para até 50% (cinquenta por cento) até que os respectivos gastos sejam recuperados.</w:t>
      </w:r>
    </w:p>
    <w:p w:rsidR="002676C2" w:rsidRPr="005534B5" w:rsidRDefault="002676C2" w:rsidP="002676C2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Calcular o valor do custo a ser recuperado: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393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Com posse das informações detalhadas nas etapas citadas acima da Rotina de Cálculo Automática, o sistema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será capaz de calcular o valor recuperado.</w:t>
      </w:r>
    </w:p>
    <w:p w:rsidR="002676C2" w:rsidRPr="005534B5" w:rsidRDefault="002676C2" w:rsidP="002676C2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Atualizar montantes de custos recuperados e enviar dados para a CCO: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393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Após o cálculo do custo recuperado, o saldo da conta custo em óleo deve ser atualizado automaticamente.</w:t>
      </w:r>
    </w:p>
    <w:p w:rsidR="002676C2" w:rsidRPr="005534B5" w:rsidRDefault="002676C2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>Liberar Valor do Custo Recuperado para Cálc</w:t>
      </w:r>
      <w:r w:rsidR="00BF27AA" w:rsidRPr="005534B5">
        <w:rPr>
          <w:b/>
          <w:sz w:val="22"/>
          <w:szCs w:val="22"/>
        </w:rPr>
        <w:t>ulo dos Excedentes – Atividade 9</w:t>
      </w:r>
      <w:r w:rsidRPr="005534B5">
        <w:rPr>
          <w:b/>
          <w:sz w:val="22"/>
          <w:szCs w:val="22"/>
        </w:rPr>
        <w:t>, ilustrada no Padrão de Processo (Anexo I)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9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Após a Rotina de Cálculo Automática, a GE do CPP deverá liberar no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o valor do custo recuperado calculado para a área de Coordenação de Acompanhamento e Controle da Produção para realização do cálculo dos excedentes e parcelas da produção.</w:t>
      </w:r>
    </w:p>
    <w:p w:rsidR="002676C2" w:rsidRPr="005534B5" w:rsidRDefault="002676C2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 xml:space="preserve">Fiscalização – Atividade </w:t>
      </w:r>
      <w:r w:rsidR="00BF27AA" w:rsidRPr="005534B5">
        <w:rPr>
          <w:b/>
          <w:sz w:val="22"/>
          <w:szCs w:val="22"/>
        </w:rPr>
        <w:t>10</w:t>
      </w:r>
      <w:r w:rsidRPr="005534B5">
        <w:rPr>
          <w:b/>
          <w:sz w:val="22"/>
          <w:szCs w:val="22"/>
        </w:rPr>
        <w:t>, ilustrada no Padrão de Processo (Anexo I)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94"/>
        <w:jc w:val="both"/>
        <w:rPr>
          <w:rFonts w:ascii="Univers for KPMG" w:hAnsi="Univers for KPMG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lastRenderedPageBreak/>
        <w:t xml:space="preserve">Após a Rotina de Cálculo Automática, a GE do CPP deverá sinalizar os pontos de fiscalização para a Assessoria Especial de Fiscalização seguir com o processo de Monitoramento e Auditoria dos </w:t>
      </w:r>
      <w:proofErr w:type="spellStart"/>
      <w:r w:rsidRPr="005534B5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5534B5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5534B5">
        <w:rPr>
          <w:rFonts w:asciiTheme="minorHAnsi" w:hAnsiTheme="minorHAnsi" w:cstheme="minorHAnsi"/>
          <w:sz w:val="22"/>
          <w:szCs w:val="22"/>
        </w:rPr>
        <w:t>AIPs</w:t>
      </w:r>
      <w:proofErr w:type="spellEnd"/>
      <w:r w:rsidRPr="005534B5">
        <w:rPr>
          <w:rFonts w:asciiTheme="minorHAnsi" w:hAnsiTheme="minorHAnsi" w:cstheme="minorHAnsi"/>
          <w:sz w:val="22"/>
          <w:szCs w:val="22"/>
        </w:rPr>
        <w:t>.</w:t>
      </w:r>
    </w:p>
    <w:p w:rsidR="002676C2" w:rsidRPr="005534B5" w:rsidRDefault="002676C2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 xml:space="preserve">Relatório Mensal da Recuperação do Custo em Óleo – Atividades </w:t>
      </w:r>
      <w:r w:rsidR="00BF27AA" w:rsidRPr="005534B5">
        <w:rPr>
          <w:b/>
          <w:sz w:val="22"/>
          <w:szCs w:val="22"/>
        </w:rPr>
        <w:t>11</w:t>
      </w:r>
      <w:r w:rsidRPr="005534B5">
        <w:rPr>
          <w:b/>
          <w:sz w:val="22"/>
          <w:szCs w:val="22"/>
        </w:rPr>
        <w:t xml:space="preserve"> a 1</w:t>
      </w:r>
      <w:r w:rsidR="00BF27AA" w:rsidRPr="005534B5">
        <w:rPr>
          <w:b/>
          <w:sz w:val="22"/>
          <w:szCs w:val="22"/>
        </w:rPr>
        <w:t>5</w:t>
      </w:r>
      <w:r w:rsidRPr="005534B5">
        <w:rPr>
          <w:b/>
          <w:sz w:val="22"/>
          <w:szCs w:val="22"/>
        </w:rPr>
        <w:t>, ilustradas no Padrão de Processo (Anexo I)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Após a Rotina de Cálculo Automática, a GE do CPP deverá liberar no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o valor do custo recuperado calculado para atualização da conta custo em óleo e em seguida elaborar e salvar o Relatório Mensal da Recuperação do Custo em Óleo de cada CPP no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>.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71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A GE do CPP deverá disponibilizar o relatório internamente via </w:t>
      </w:r>
      <w:r w:rsidRPr="005534B5">
        <w:rPr>
          <w:rFonts w:asciiTheme="minorHAnsi" w:hAnsiTheme="minorHAnsi" w:cstheme="minorHAnsi"/>
          <w:i/>
          <w:sz w:val="22"/>
          <w:szCs w:val="22"/>
        </w:rPr>
        <w:t>workflow</w:t>
      </w:r>
      <w:r w:rsidRPr="005534B5">
        <w:rPr>
          <w:rFonts w:asciiTheme="minorHAnsi" w:hAnsiTheme="minorHAnsi" w:cstheme="minorHAnsi"/>
          <w:sz w:val="22"/>
          <w:szCs w:val="22"/>
        </w:rPr>
        <w:t xml:space="preserve"> do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para DGC e Fiscalização. Esse relatório servirá de insumo para o processo de Gestão da CCO. Além disso, deve também enviar o relatório via Carta Oficial para Operador e Consorciados de cada CPP.</w:t>
      </w:r>
    </w:p>
    <w:p w:rsidR="002676C2" w:rsidRPr="005534B5" w:rsidRDefault="002676C2" w:rsidP="002676C2">
      <w:pPr>
        <w:pStyle w:val="Style3"/>
        <w:numPr>
          <w:ilvl w:val="2"/>
          <w:numId w:val="2"/>
        </w:numPr>
        <w:rPr>
          <w:b/>
          <w:sz w:val="22"/>
          <w:szCs w:val="22"/>
        </w:rPr>
      </w:pPr>
      <w:r w:rsidRPr="005534B5">
        <w:rPr>
          <w:b/>
          <w:sz w:val="22"/>
          <w:szCs w:val="22"/>
        </w:rPr>
        <w:t>Relatório Mensal Consolidado da Recuperação do Custo em Óleo – Atividades 1</w:t>
      </w:r>
      <w:r w:rsidR="00BF27AA" w:rsidRPr="005534B5">
        <w:rPr>
          <w:b/>
          <w:sz w:val="22"/>
          <w:szCs w:val="22"/>
        </w:rPr>
        <w:t>6</w:t>
      </w:r>
      <w:r w:rsidRPr="005534B5">
        <w:rPr>
          <w:b/>
          <w:sz w:val="22"/>
          <w:szCs w:val="22"/>
        </w:rPr>
        <w:t xml:space="preserve"> a 1</w:t>
      </w:r>
      <w:r w:rsidR="00BF27AA" w:rsidRPr="005534B5">
        <w:rPr>
          <w:b/>
          <w:sz w:val="22"/>
          <w:szCs w:val="22"/>
        </w:rPr>
        <w:t>8</w:t>
      </w:r>
      <w:r w:rsidRPr="005534B5">
        <w:rPr>
          <w:b/>
          <w:sz w:val="22"/>
          <w:szCs w:val="22"/>
        </w:rPr>
        <w:t>, ilustradas no Padrão de Processo (Anexo I)</w:t>
      </w:r>
    </w:p>
    <w:p w:rsidR="002676C2" w:rsidRPr="005534B5" w:rsidRDefault="002676C2" w:rsidP="002676C2">
      <w:pPr>
        <w:autoSpaceDE w:val="0"/>
        <w:autoSpaceDN w:val="0"/>
        <w:adjustRightInd w:val="0"/>
        <w:spacing w:line="360" w:lineRule="auto"/>
        <w:ind w:left="1022" w:firstLine="394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 xml:space="preserve">A DGC receberá via </w:t>
      </w:r>
      <w:r w:rsidRPr="005534B5">
        <w:rPr>
          <w:rFonts w:asciiTheme="minorHAnsi" w:hAnsiTheme="minorHAnsi" w:cstheme="minorHAnsi"/>
          <w:i/>
          <w:sz w:val="22"/>
          <w:szCs w:val="22"/>
        </w:rPr>
        <w:t>workflow</w:t>
      </w:r>
      <w:r w:rsidRPr="005534B5">
        <w:rPr>
          <w:rFonts w:asciiTheme="minorHAnsi" w:hAnsiTheme="minorHAnsi" w:cstheme="minorHAnsi"/>
          <w:sz w:val="22"/>
          <w:szCs w:val="22"/>
        </w:rPr>
        <w:t xml:space="preserve"> do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os Relatórios Mensais de Recuperação do Custo em Óleo de cada CPP e irá consolidá-los possibilitando análise de todos os </w:t>
      </w:r>
      <w:proofErr w:type="spellStart"/>
      <w:r w:rsidRPr="005534B5">
        <w:rPr>
          <w:rFonts w:asciiTheme="minorHAnsi" w:hAnsiTheme="minorHAnsi" w:cstheme="minorHAnsi"/>
          <w:sz w:val="22"/>
          <w:szCs w:val="22"/>
        </w:rPr>
        <w:t>CPPs</w:t>
      </w:r>
      <w:proofErr w:type="spellEnd"/>
      <w:r w:rsidRPr="005534B5">
        <w:rPr>
          <w:rFonts w:asciiTheme="minorHAnsi" w:hAnsiTheme="minorHAnsi" w:cstheme="minorHAnsi"/>
          <w:sz w:val="22"/>
          <w:szCs w:val="22"/>
        </w:rPr>
        <w:t>. Em seguida a DGC deverá disponibilizar no sistema o relatório consolidado e enviar por e-mail para a DE.</w:t>
      </w:r>
    </w:p>
    <w:p w:rsidR="00F43A06" w:rsidRPr="005534B5" w:rsidRDefault="00F43A06" w:rsidP="000C6A5A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3" w:name="_Toc492662821"/>
      <w:r w:rsidRPr="005534B5">
        <w:rPr>
          <w:b/>
          <w:sz w:val="22"/>
          <w:szCs w:val="22"/>
        </w:rPr>
        <w:t>Monitoramento do Processo</w:t>
      </w:r>
      <w:bookmarkEnd w:id="13"/>
    </w:p>
    <w:p w:rsidR="00F43A06" w:rsidRPr="005534B5" w:rsidRDefault="00F43A06" w:rsidP="000C6A5A">
      <w:pPr>
        <w:pStyle w:val="Style3"/>
        <w:numPr>
          <w:ilvl w:val="2"/>
          <w:numId w:val="2"/>
        </w:numPr>
        <w:ind w:left="1503" w:hanging="505"/>
        <w:rPr>
          <w:sz w:val="22"/>
          <w:szCs w:val="22"/>
        </w:rPr>
      </w:pPr>
      <w:r w:rsidRPr="005534B5">
        <w:rPr>
          <w:b/>
          <w:sz w:val="22"/>
          <w:szCs w:val="22"/>
        </w:rPr>
        <w:t>Monitoramento Gerencial (Indicadores de Performance do Processo):</w:t>
      </w:r>
    </w:p>
    <w:p w:rsidR="002676C2" w:rsidRPr="005534B5" w:rsidRDefault="002676C2" w:rsidP="00C655D0">
      <w:pPr>
        <w:spacing w:line="360" w:lineRule="auto"/>
        <w:ind w:left="709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O Processo de Recuperação do Custo em Óleo deve ser suportado por Indicadores de Performance do Processo, conforme detalhamento no Anexo III. O Modelo de Governança dos Processos prevê a sistematização desses indicadores com a realização do Ciclo periódico de acompanhamento dos indicadores que envolve os Comitês Diretivo, Executivo e de Especialistas com as seguintes atividades:</w:t>
      </w:r>
    </w:p>
    <w:p w:rsidR="002676C2" w:rsidRPr="005534B5" w:rsidRDefault="002676C2" w:rsidP="002676C2">
      <w:pPr>
        <w:spacing w:line="360" w:lineRule="auto"/>
        <w:ind w:left="1022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a)</w:t>
      </w:r>
      <w:r w:rsidRPr="005534B5">
        <w:rPr>
          <w:rFonts w:asciiTheme="minorHAnsi" w:hAnsiTheme="minorHAnsi" w:cstheme="minorHAnsi"/>
          <w:sz w:val="22"/>
          <w:szCs w:val="22"/>
        </w:rPr>
        <w:tab/>
        <w:t>Analista responsável pela gestão dos indicadores do processo de Recuperação do Custo em Óleo deve gerar os indicadores e enviá-los via e-mail para análise do Comitê Executivo e do Comitê de Especialistas;</w:t>
      </w:r>
    </w:p>
    <w:p w:rsidR="002676C2" w:rsidRPr="005534B5" w:rsidRDefault="002676C2" w:rsidP="002676C2">
      <w:pPr>
        <w:spacing w:line="360" w:lineRule="auto"/>
        <w:ind w:left="1022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b)</w:t>
      </w:r>
      <w:r w:rsidRPr="005534B5">
        <w:rPr>
          <w:rFonts w:asciiTheme="minorHAnsi" w:hAnsiTheme="minorHAnsi" w:cstheme="minorHAnsi"/>
          <w:sz w:val="22"/>
          <w:szCs w:val="22"/>
        </w:rPr>
        <w:tab/>
        <w:t>Comitê Executivo e Comitê de Especialistas devem avaliar os indicadores gerados para cada processo em reunião e aprovar o envio ao Comitê Diretivo; e</w:t>
      </w:r>
    </w:p>
    <w:p w:rsidR="002676C2" w:rsidRPr="005534B5" w:rsidRDefault="002676C2" w:rsidP="002676C2">
      <w:pPr>
        <w:spacing w:line="360" w:lineRule="auto"/>
        <w:ind w:left="1022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lastRenderedPageBreak/>
        <w:t>c)</w:t>
      </w:r>
      <w:r w:rsidRPr="005534B5">
        <w:rPr>
          <w:rFonts w:asciiTheme="minorHAnsi" w:hAnsiTheme="minorHAnsi" w:cstheme="minorHAnsi"/>
          <w:sz w:val="22"/>
          <w:szCs w:val="22"/>
        </w:rPr>
        <w:tab/>
        <w:t xml:space="preserve">Comitê Diretivo e Comitê Executivo devem avaliar os resultados em reunião e elaborar plano de ação para os desvios apresentados. Arquivar resultados no </w:t>
      </w:r>
      <w:r w:rsidR="00511977" w:rsidRPr="005534B5">
        <w:rPr>
          <w:rFonts w:asciiTheme="minorHAnsi" w:hAnsiTheme="minorHAnsi" w:cstheme="minorHAnsi"/>
          <w:sz w:val="22"/>
          <w:szCs w:val="22"/>
        </w:rPr>
        <w:t>SGPP</w:t>
      </w:r>
      <w:r w:rsidRPr="005534B5">
        <w:rPr>
          <w:rFonts w:asciiTheme="minorHAnsi" w:hAnsiTheme="minorHAnsi" w:cstheme="minorHAnsi"/>
          <w:sz w:val="22"/>
          <w:szCs w:val="22"/>
        </w:rPr>
        <w:t xml:space="preserve"> ao final desse ciclo periódico.</w:t>
      </w:r>
    </w:p>
    <w:p w:rsidR="002676C2" w:rsidRPr="005534B5" w:rsidRDefault="002676C2" w:rsidP="002676C2">
      <w:pPr>
        <w:spacing w:line="360" w:lineRule="auto"/>
        <w:ind w:left="1022" w:firstLine="42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34B5">
        <w:rPr>
          <w:rFonts w:asciiTheme="minorHAnsi" w:hAnsiTheme="minorHAnsi" w:cstheme="minorHAnsi"/>
          <w:color w:val="000000" w:themeColor="text1"/>
          <w:sz w:val="22"/>
          <w:szCs w:val="22"/>
        </w:rPr>
        <w:t>O indicador (detalhamento no Anexo III deste documento) previsto para o processo de Recuperação do Custo em Óleo é:</w:t>
      </w:r>
    </w:p>
    <w:p w:rsidR="002676C2" w:rsidRPr="005534B5" w:rsidRDefault="002676C2" w:rsidP="002676C2">
      <w:pPr>
        <w:pStyle w:val="PargrafodaLista"/>
        <w:numPr>
          <w:ilvl w:val="1"/>
          <w:numId w:val="9"/>
        </w:numPr>
        <w:spacing w:after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Valor recuperado pelo Consórcio</w:t>
      </w:r>
    </w:p>
    <w:p w:rsidR="005534B5" w:rsidRPr="005534B5" w:rsidRDefault="005534B5" w:rsidP="005534B5">
      <w:pPr>
        <w:pStyle w:val="Style2"/>
        <w:numPr>
          <w:ilvl w:val="1"/>
          <w:numId w:val="2"/>
        </w:numPr>
        <w:spacing w:before="240"/>
        <w:ind w:left="1072" w:hanging="431"/>
        <w:rPr>
          <w:b/>
          <w:sz w:val="22"/>
          <w:szCs w:val="22"/>
        </w:rPr>
      </w:pPr>
      <w:bookmarkStart w:id="14" w:name="_Toc492662822"/>
      <w:r w:rsidRPr="005534B5">
        <w:rPr>
          <w:b/>
          <w:sz w:val="22"/>
          <w:szCs w:val="22"/>
        </w:rPr>
        <w:t>Prazos</w:t>
      </w:r>
      <w:bookmarkEnd w:id="14"/>
    </w:p>
    <w:p w:rsidR="001C6734" w:rsidRDefault="005534B5" w:rsidP="005534B5">
      <w:pPr>
        <w:spacing w:line="360" w:lineRule="auto"/>
        <w:ind w:left="641" w:firstLine="289"/>
        <w:jc w:val="both"/>
        <w:rPr>
          <w:rFonts w:asciiTheme="minorHAnsi" w:hAnsiTheme="minorHAnsi" w:cstheme="minorHAnsi"/>
          <w:sz w:val="22"/>
          <w:szCs w:val="22"/>
        </w:rPr>
      </w:pPr>
      <w:r w:rsidRPr="005534B5">
        <w:rPr>
          <w:rFonts w:asciiTheme="minorHAnsi" w:hAnsiTheme="minorHAnsi" w:cstheme="minorHAnsi"/>
          <w:sz w:val="22"/>
          <w:szCs w:val="22"/>
        </w:rPr>
        <w:t>Os custos devem começar a ser recuperados a partir da produção e comercialização (Declaração de Comercialidade) do óleo do consórcio.</w:t>
      </w:r>
    </w:p>
    <w:p w:rsidR="001C6734" w:rsidRPr="001C6734" w:rsidRDefault="001C6734" w:rsidP="001C6734">
      <w:pPr>
        <w:rPr>
          <w:rFonts w:asciiTheme="minorHAnsi" w:hAnsiTheme="minorHAnsi" w:cstheme="minorHAnsi"/>
          <w:sz w:val="22"/>
          <w:szCs w:val="22"/>
        </w:rPr>
      </w:pPr>
    </w:p>
    <w:p w:rsidR="001C6734" w:rsidRPr="001C6734" w:rsidRDefault="001C6734" w:rsidP="001C6734">
      <w:pPr>
        <w:rPr>
          <w:rFonts w:asciiTheme="minorHAnsi" w:hAnsiTheme="minorHAnsi" w:cstheme="minorHAnsi"/>
          <w:sz w:val="22"/>
          <w:szCs w:val="22"/>
        </w:rPr>
      </w:pPr>
    </w:p>
    <w:p w:rsidR="001C6734" w:rsidRPr="001C6734" w:rsidRDefault="001C6734" w:rsidP="001C6734">
      <w:pPr>
        <w:rPr>
          <w:rFonts w:asciiTheme="minorHAnsi" w:hAnsiTheme="minorHAnsi" w:cstheme="minorHAnsi"/>
          <w:sz w:val="22"/>
          <w:szCs w:val="22"/>
        </w:rPr>
      </w:pPr>
    </w:p>
    <w:p w:rsidR="001C6734" w:rsidRPr="001C6734" w:rsidRDefault="001C6734" w:rsidP="001C6734">
      <w:pPr>
        <w:rPr>
          <w:rFonts w:asciiTheme="minorHAnsi" w:hAnsiTheme="minorHAnsi" w:cstheme="minorHAnsi"/>
          <w:sz w:val="22"/>
          <w:szCs w:val="22"/>
        </w:rPr>
      </w:pPr>
    </w:p>
    <w:p w:rsidR="001C6734" w:rsidRPr="001C6734" w:rsidRDefault="001C6734" w:rsidP="001C6734">
      <w:pPr>
        <w:rPr>
          <w:rFonts w:asciiTheme="minorHAnsi" w:hAnsiTheme="minorHAnsi" w:cstheme="minorHAnsi"/>
          <w:sz w:val="22"/>
          <w:szCs w:val="22"/>
        </w:rPr>
      </w:pPr>
    </w:p>
    <w:p w:rsidR="001C6734" w:rsidRDefault="001C6734" w:rsidP="001C6734">
      <w:pPr>
        <w:rPr>
          <w:rFonts w:asciiTheme="minorHAnsi" w:hAnsiTheme="minorHAnsi" w:cstheme="minorHAnsi"/>
          <w:sz w:val="22"/>
          <w:szCs w:val="22"/>
        </w:rPr>
      </w:pPr>
    </w:p>
    <w:p w:rsidR="001C6734" w:rsidRDefault="001C6734" w:rsidP="001C6734">
      <w:pPr>
        <w:tabs>
          <w:tab w:val="left" w:pos="774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1C6734" w:rsidRPr="001C6734" w:rsidRDefault="001C6734" w:rsidP="001C6734">
      <w:pPr>
        <w:tabs>
          <w:tab w:val="left" w:pos="7740"/>
        </w:tabs>
        <w:rPr>
          <w:rFonts w:asciiTheme="minorHAnsi" w:hAnsiTheme="minorHAnsi" w:cstheme="minorHAnsi"/>
          <w:sz w:val="22"/>
          <w:szCs w:val="22"/>
        </w:rPr>
        <w:sectPr w:rsidR="001C6734" w:rsidRPr="001C6734" w:rsidSect="00042F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7254CF" w:rsidRPr="005534B5" w:rsidRDefault="007254CF" w:rsidP="007254CF">
      <w:pPr>
        <w:pStyle w:val="Style1"/>
        <w:rPr>
          <w:b/>
          <w:sz w:val="22"/>
          <w:szCs w:val="22"/>
        </w:rPr>
      </w:pPr>
      <w:bookmarkStart w:id="15" w:name="_Toc492662823"/>
      <w:r w:rsidRPr="005534B5">
        <w:rPr>
          <w:b/>
          <w:sz w:val="22"/>
          <w:szCs w:val="22"/>
        </w:rPr>
        <w:lastRenderedPageBreak/>
        <w:t>Índice de Revisões</w:t>
      </w:r>
      <w:bookmarkEnd w:id="15"/>
    </w:p>
    <w:tbl>
      <w:tblPr>
        <w:tblStyle w:val="Tabelacomgrade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852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</w:tblGrid>
      <w:tr w:rsidR="001C6734" w:rsidRPr="00782700" w:rsidTr="00F92AB8">
        <w:trPr>
          <w:jc w:val="center"/>
        </w:trPr>
        <w:tc>
          <w:tcPr>
            <w:tcW w:w="9352" w:type="dxa"/>
            <w:gridSpan w:val="11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ÍNDICE DE REVISÕES</w:t>
            </w:r>
          </w:p>
        </w:tc>
      </w:tr>
      <w:tr w:rsidR="001C6734" w:rsidRPr="00C85FAF" w:rsidTr="00F92AB8">
        <w:trPr>
          <w:jc w:val="center"/>
        </w:trPr>
        <w:tc>
          <w:tcPr>
            <w:tcW w:w="732" w:type="dxa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REV.</w:t>
            </w:r>
          </w:p>
        </w:tc>
        <w:tc>
          <w:tcPr>
            <w:tcW w:w="8620" w:type="dxa"/>
            <w:gridSpan w:val="10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22"/>
                <w:szCs w:val="18"/>
              </w:rPr>
              <w:t>DESCRIÇÃO</w:t>
            </w:r>
          </w:p>
        </w:tc>
      </w:tr>
      <w:tr w:rsidR="001C6734" w:rsidRPr="00C85FAF" w:rsidTr="00F92AB8">
        <w:trPr>
          <w:jc w:val="center"/>
        </w:trPr>
        <w:tc>
          <w:tcPr>
            <w:tcW w:w="732" w:type="dxa"/>
            <w:tcBorders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8620" w:type="dxa"/>
            <w:gridSpan w:val="10"/>
            <w:tcBorders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rPr>
                <w:rFonts w:asciiTheme="minorHAnsi" w:hAnsiTheme="minorHAnsi"/>
                <w:sz w:val="18"/>
                <w:szCs w:val="18"/>
              </w:rPr>
            </w:pPr>
            <w:r w:rsidRPr="00C85FAF">
              <w:rPr>
                <w:rFonts w:asciiTheme="minorHAnsi" w:hAnsiTheme="minorHAnsi"/>
                <w:sz w:val="18"/>
                <w:szCs w:val="18"/>
              </w:rPr>
              <w:t>Original</w:t>
            </w:r>
          </w:p>
        </w:tc>
      </w:tr>
      <w:tr w:rsidR="001C6734" w:rsidRPr="00C85FAF" w:rsidTr="00F92AB8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732" w:type="dxa"/>
            <w:tcBorders>
              <w:top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20" w:type="dxa"/>
            <w:gridSpan w:val="10"/>
            <w:tcBorders>
              <w:top w:val="dotted" w:sz="4" w:space="0" w:color="A6A6A6" w:themeColor="background1" w:themeShade="A6"/>
            </w:tcBorders>
          </w:tcPr>
          <w:p w:rsidR="001C6734" w:rsidRPr="00C85FAF" w:rsidRDefault="001C6734" w:rsidP="00F92AB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1584" w:type="dxa"/>
            <w:gridSpan w:val="2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ORIGINAL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1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2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3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4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5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REV.61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7</w:t>
            </w:r>
          </w:p>
        </w:tc>
        <w:tc>
          <w:tcPr>
            <w:tcW w:w="864" w:type="dxa"/>
            <w:vAlign w:val="center"/>
          </w:tcPr>
          <w:p w:rsidR="001C6734" w:rsidRPr="00C85FAF" w:rsidRDefault="001C6734" w:rsidP="00F92AB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REV. 8</w:t>
            </w:r>
          </w:p>
        </w:tc>
      </w:tr>
      <w:tr w:rsidR="001C6734" w:rsidRPr="00C85FAF" w:rsidTr="00F92AB8">
        <w:trPr>
          <w:jc w:val="center"/>
        </w:trPr>
        <w:tc>
          <w:tcPr>
            <w:tcW w:w="1584" w:type="dxa"/>
            <w:gridSpan w:val="2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DATA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1584" w:type="dxa"/>
            <w:gridSpan w:val="2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ELABORADO POR: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1584" w:type="dxa"/>
            <w:gridSpan w:val="2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REVISADO POR: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C6734" w:rsidRPr="00C85FAF" w:rsidTr="00F92AB8">
        <w:trPr>
          <w:jc w:val="center"/>
        </w:trPr>
        <w:tc>
          <w:tcPr>
            <w:tcW w:w="1584" w:type="dxa"/>
            <w:gridSpan w:val="2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  <w:r w:rsidRPr="00C85FAF">
              <w:rPr>
                <w:rFonts w:asciiTheme="minorHAnsi" w:hAnsiTheme="minorHAnsi"/>
                <w:sz w:val="16"/>
                <w:szCs w:val="16"/>
              </w:rPr>
              <w:t>APROVADO POR:</w:t>
            </w: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3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1C6734" w:rsidRPr="00C85FAF" w:rsidRDefault="001C6734" w:rsidP="00F92AB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F43A06" w:rsidRPr="005534B5" w:rsidRDefault="00F43A06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5534B5">
        <w:rPr>
          <w:sz w:val="22"/>
          <w:szCs w:val="22"/>
        </w:rPr>
        <w:br w:type="page"/>
      </w:r>
    </w:p>
    <w:p w:rsidR="00502A6A" w:rsidRPr="005534B5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  <w:sectPr w:rsidR="00502A6A" w:rsidRPr="005534B5" w:rsidSect="001C6734">
          <w:footerReference w:type="default" r:id="rId15"/>
          <w:pgSz w:w="11906" w:h="16838"/>
          <w:pgMar w:top="1440" w:right="1080" w:bottom="1440" w:left="1080" w:header="708" w:footer="0" w:gutter="0"/>
          <w:pgNumType w:fmt="numberInDash"/>
          <w:cols w:space="708"/>
          <w:docGrid w:linePitch="360"/>
        </w:sectPr>
      </w:pPr>
    </w:p>
    <w:p w:rsidR="00502A6A" w:rsidRPr="005534B5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5534B5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502A6A" w:rsidRPr="005534B5" w:rsidRDefault="00502A6A" w:rsidP="007254CF">
      <w:pPr>
        <w:pStyle w:val="Style1"/>
        <w:numPr>
          <w:ilvl w:val="0"/>
          <w:numId w:val="0"/>
        </w:numPr>
        <w:rPr>
          <w:sz w:val="22"/>
          <w:szCs w:val="22"/>
        </w:rPr>
      </w:pPr>
    </w:p>
    <w:p w:rsidR="001C6734" w:rsidRPr="001C6734" w:rsidRDefault="001C6734" w:rsidP="001C6734">
      <w:pPr>
        <w:pStyle w:val="Style1"/>
        <w:rPr>
          <w:b/>
          <w:sz w:val="22"/>
        </w:rPr>
      </w:pPr>
      <w:bookmarkStart w:id="16" w:name="_Toc492662824"/>
      <w:r w:rsidRPr="001C6734">
        <w:rPr>
          <w:b/>
          <w:sz w:val="22"/>
        </w:rPr>
        <w:t>Anexos</w:t>
      </w:r>
      <w:bookmarkEnd w:id="16"/>
      <w:r w:rsidRPr="001C6734">
        <w:rPr>
          <w:b/>
          <w:sz w:val="22"/>
        </w:rPr>
        <w:t xml:space="preserve"> </w:t>
      </w:r>
    </w:p>
    <w:p w:rsidR="00484A4B" w:rsidRPr="001C6734" w:rsidRDefault="009D01BE" w:rsidP="001C6734">
      <w:pPr>
        <w:pStyle w:val="Style2"/>
        <w:numPr>
          <w:ilvl w:val="1"/>
          <w:numId w:val="2"/>
        </w:numPr>
        <w:rPr>
          <w:b/>
          <w:sz w:val="22"/>
        </w:rPr>
      </w:pPr>
      <w:bookmarkStart w:id="17" w:name="_Toc492662825"/>
      <w:r>
        <w:rPr>
          <w:b/>
          <w:sz w:val="22"/>
        </w:rPr>
        <w:t xml:space="preserve">Anexo I - </w:t>
      </w:r>
      <w:r w:rsidR="00484A4B" w:rsidRPr="001C6734">
        <w:rPr>
          <w:b/>
          <w:sz w:val="22"/>
        </w:rPr>
        <w:t>Padrão de Processo</w:t>
      </w:r>
      <w:bookmarkEnd w:id="17"/>
    </w:p>
    <w:p w:rsidR="00B438F5" w:rsidRDefault="00B438F5" w:rsidP="001C6734">
      <w:pPr>
        <w:rPr>
          <w:rFonts w:ascii="Univers for KPMG" w:hAnsi="Univers for KPMG"/>
        </w:rPr>
      </w:pPr>
      <w:r w:rsidRPr="00B438F5">
        <w:rPr>
          <w:noProof/>
        </w:rPr>
        <w:drawing>
          <wp:inline distT="0" distB="0" distL="0" distR="0">
            <wp:extent cx="9248775" cy="3211830"/>
            <wp:effectExtent l="19050" t="19050" r="28575" b="266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0"/>
                    <a:stretch/>
                  </pic:blipFill>
                  <pic:spPr bwMode="auto">
                    <a:xfrm>
                      <a:off x="0" y="0"/>
                      <a:ext cx="9249725" cy="3212160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" lastClr="FFFFFF">
                          <a:lumMod val="6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13BE" w:rsidRDefault="002676C2" w:rsidP="001C6734">
      <w:pPr>
        <w:spacing w:line="259" w:lineRule="auto"/>
        <w:rPr>
          <w:rFonts w:asciiTheme="minorHAnsi" w:hAnsiTheme="minorHAnsi" w:cstheme="minorHAnsi"/>
          <w:sz w:val="20"/>
          <w:szCs w:val="20"/>
        </w:rPr>
      </w:pPr>
      <w:r w:rsidRPr="002676C2">
        <w:rPr>
          <w:rFonts w:asciiTheme="minorHAnsi" w:hAnsiTheme="minorHAnsi" w:cstheme="minorHAnsi"/>
          <w:sz w:val="20"/>
          <w:szCs w:val="20"/>
        </w:rPr>
        <w:t>Figura 2</w:t>
      </w:r>
      <w:r w:rsidR="00AF5C44">
        <w:rPr>
          <w:rFonts w:asciiTheme="minorHAnsi" w:hAnsiTheme="minorHAnsi" w:cstheme="minorHAnsi"/>
          <w:sz w:val="20"/>
          <w:szCs w:val="20"/>
        </w:rPr>
        <w:t>:</w:t>
      </w:r>
      <w:r w:rsidRPr="002676C2">
        <w:rPr>
          <w:rFonts w:asciiTheme="minorHAnsi" w:hAnsiTheme="minorHAnsi" w:cstheme="minorHAnsi"/>
          <w:sz w:val="20"/>
          <w:szCs w:val="20"/>
        </w:rPr>
        <w:t xml:space="preserve"> Macrofluxograma do Processo</w:t>
      </w:r>
    </w:p>
    <w:p w:rsidR="00F43A06" w:rsidRPr="00502A6A" w:rsidRDefault="00F43A06" w:rsidP="00502A6A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1C6734" w:rsidRDefault="001C6734" w:rsidP="007254CF">
      <w:pPr>
        <w:pStyle w:val="Style1"/>
        <w:numPr>
          <w:ilvl w:val="0"/>
          <w:numId w:val="0"/>
        </w:numPr>
      </w:pPr>
    </w:p>
    <w:p w:rsidR="00484A4B" w:rsidRPr="001C6734" w:rsidRDefault="009D01BE" w:rsidP="001C6734">
      <w:pPr>
        <w:pStyle w:val="Style2"/>
        <w:numPr>
          <w:ilvl w:val="1"/>
          <w:numId w:val="2"/>
        </w:numPr>
        <w:rPr>
          <w:b/>
          <w:sz w:val="22"/>
        </w:rPr>
      </w:pPr>
      <w:bookmarkStart w:id="18" w:name="_Toc492662826"/>
      <w:r>
        <w:rPr>
          <w:b/>
          <w:sz w:val="22"/>
        </w:rPr>
        <w:t xml:space="preserve">Anexo II - </w:t>
      </w:r>
      <w:r w:rsidR="00484A4B" w:rsidRPr="001C6734">
        <w:rPr>
          <w:b/>
          <w:sz w:val="22"/>
        </w:rPr>
        <w:t>Matriz de Papéis e Responsabilidades</w:t>
      </w:r>
      <w:bookmarkEnd w:id="18"/>
    </w:p>
    <w:p w:rsidR="002676C2" w:rsidRPr="00EF79EB" w:rsidRDefault="002676C2" w:rsidP="001C6734">
      <w:pPr>
        <w:rPr>
          <w:rFonts w:ascii="Univers for KPMG" w:hAnsi="Univers for KPMG"/>
        </w:rPr>
      </w:pPr>
      <w:r w:rsidRPr="00EF79EB">
        <w:rPr>
          <w:rFonts w:ascii="Univers for KPMG" w:hAnsi="Univers for KPMG"/>
          <w:noProof/>
        </w:rPr>
        <w:drawing>
          <wp:inline distT="0" distB="0" distL="0" distR="0" wp14:anchorId="451A7D41" wp14:editId="244407F2">
            <wp:extent cx="2924175" cy="2962415"/>
            <wp:effectExtent l="19050" t="19050" r="9525" b="285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528" cy="30002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113BE" w:rsidRDefault="00AF5C44" w:rsidP="00502A6A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Figura 3:</w:t>
      </w:r>
      <w:r w:rsidR="00502A6A" w:rsidRPr="00502A6A">
        <w:rPr>
          <w:rFonts w:asciiTheme="minorHAnsi" w:hAnsiTheme="minorHAnsi" w:cstheme="minorHAnsi"/>
          <w:sz w:val="20"/>
          <w:szCs w:val="20"/>
        </w:rPr>
        <w:t xml:space="preserve"> Matriz d</w:t>
      </w:r>
      <w:r w:rsidR="002676C2">
        <w:rPr>
          <w:rFonts w:asciiTheme="minorHAnsi" w:hAnsiTheme="minorHAnsi" w:cstheme="minorHAnsi"/>
          <w:sz w:val="20"/>
          <w:szCs w:val="20"/>
        </w:rPr>
        <w:t>e Papéis e Responsabilidades</w:t>
      </w:r>
      <w:r w:rsidR="00C655D0">
        <w:rPr>
          <w:rFonts w:asciiTheme="minorHAnsi" w:hAnsiTheme="minorHAnsi" w:cstheme="minorHAnsi"/>
          <w:sz w:val="20"/>
          <w:szCs w:val="20"/>
        </w:rPr>
        <w:t xml:space="preserve"> do Processo</w:t>
      </w:r>
    </w:p>
    <w:p w:rsidR="00F43A06" w:rsidRPr="00502A6A" w:rsidRDefault="00F43A06" w:rsidP="00502A6A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02A6A">
        <w:rPr>
          <w:rFonts w:asciiTheme="minorHAnsi" w:hAnsiTheme="minorHAnsi" w:cstheme="minorHAnsi"/>
          <w:sz w:val="20"/>
          <w:szCs w:val="20"/>
        </w:rPr>
        <w:br w:type="page"/>
      </w: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484A4B" w:rsidRPr="001C6734" w:rsidRDefault="009D01BE" w:rsidP="001C6734">
      <w:pPr>
        <w:pStyle w:val="Style2"/>
        <w:numPr>
          <w:ilvl w:val="1"/>
          <w:numId w:val="2"/>
        </w:numPr>
        <w:rPr>
          <w:b/>
          <w:sz w:val="22"/>
        </w:rPr>
      </w:pPr>
      <w:bookmarkStart w:id="19" w:name="_Toc492662827"/>
      <w:r>
        <w:rPr>
          <w:b/>
          <w:sz w:val="22"/>
        </w:rPr>
        <w:t xml:space="preserve">Anexo III - </w:t>
      </w:r>
      <w:r w:rsidR="00484A4B" w:rsidRPr="001C6734">
        <w:rPr>
          <w:b/>
          <w:sz w:val="22"/>
        </w:rPr>
        <w:t>Indicadores de Performance do Processo</w:t>
      </w:r>
      <w:bookmarkEnd w:id="19"/>
    </w:p>
    <w:p w:rsidR="00C655D0" w:rsidRPr="00EF79EB" w:rsidRDefault="00F113BE" w:rsidP="001C6734">
      <w:pPr>
        <w:rPr>
          <w:rFonts w:ascii="Univers for KPMG" w:hAnsi="Univers for KPMG"/>
        </w:rPr>
      </w:pPr>
      <w:r w:rsidRPr="00F113BE">
        <w:rPr>
          <w:noProof/>
        </w:rPr>
        <w:drawing>
          <wp:inline distT="0" distB="0" distL="0" distR="0">
            <wp:extent cx="9320530" cy="880241"/>
            <wp:effectExtent l="19050" t="19050" r="13970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0530" cy="8802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655D0" w:rsidRPr="00C655D0" w:rsidRDefault="00AF5C44" w:rsidP="00C655D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Figura 4:</w:t>
      </w:r>
      <w:r w:rsidR="00C655D0" w:rsidRPr="00C655D0">
        <w:rPr>
          <w:rFonts w:asciiTheme="minorHAnsi" w:hAnsiTheme="minorHAnsi" w:cstheme="minorHAnsi"/>
          <w:sz w:val="20"/>
          <w:szCs w:val="20"/>
        </w:rPr>
        <w:t xml:space="preserve"> Indicadores de Performance do Processo</w:t>
      </w:r>
    </w:p>
    <w:p w:rsidR="00F43A06" w:rsidRDefault="00F43A06" w:rsidP="00C655D0">
      <w:pPr>
        <w:spacing w:after="160" w:line="259" w:lineRule="auto"/>
        <w:rPr>
          <w:rFonts w:asciiTheme="minorHAnsi" w:eastAsia="Times New Roman" w:hAnsiTheme="minorHAnsi" w:cstheme="minorHAnsi"/>
          <w:color w:val="000000" w:themeColor="text1"/>
        </w:rPr>
      </w:pPr>
      <w:r>
        <w:br w:type="page"/>
      </w: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502A6A" w:rsidRDefault="00502A6A" w:rsidP="007254CF">
      <w:pPr>
        <w:pStyle w:val="Style1"/>
        <w:numPr>
          <w:ilvl w:val="0"/>
          <w:numId w:val="0"/>
        </w:numPr>
      </w:pPr>
    </w:p>
    <w:p w:rsidR="00484A4B" w:rsidRPr="001C6734" w:rsidRDefault="009D01BE" w:rsidP="001C6734">
      <w:pPr>
        <w:pStyle w:val="Style2"/>
        <w:numPr>
          <w:ilvl w:val="1"/>
          <w:numId w:val="2"/>
        </w:numPr>
        <w:rPr>
          <w:b/>
          <w:sz w:val="22"/>
        </w:rPr>
      </w:pPr>
      <w:bookmarkStart w:id="20" w:name="_Toc492662828"/>
      <w:r>
        <w:rPr>
          <w:b/>
          <w:sz w:val="22"/>
        </w:rPr>
        <w:t xml:space="preserve">Anexo IV - </w:t>
      </w:r>
      <w:r w:rsidR="00484A4B" w:rsidRPr="001C6734">
        <w:rPr>
          <w:b/>
          <w:sz w:val="22"/>
        </w:rPr>
        <w:t>Mapa de Interface dos Processos</w:t>
      </w:r>
      <w:bookmarkEnd w:id="20"/>
    </w:p>
    <w:p w:rsidR="004F11AF" w:rsidRDefault="004F11AF" w:rsidP="001C6734">
      <w:pPr>
        <w:rPr>
          <w:rFonts w:ascii="Univers for KPMG" w:hAnsi="Univers for KPMG"/>
        </w:rPr>
      </w:pPr>
      <w:r>
        <w:rPr>
          <w:rFonts w:ascii="Univers for KPMG" w:hAnsi="Univers for KPMG"/>
          <w:noProof/>
        </w:rPr>
        <w:drawing>
          <wp:inline distT="0" distB="0" distL="0" distR="0" wp14:anchorId="0F40FC00" wp14:editId="4B10397B">
            <wp:extent cx="6840543" cy="3095625"/>
            <wp:effectExtent l="19050" t="19050" r="1778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802" cy="31251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F11AF" w:rsidRPr="002B5BA3" w:rsidRDefault="004F11AF" w:rsidP="004F11AF">
      <w:pPr>
        <w:pStyle w:val="Body"/>
        <w:spacing w:before="0" w:line="240" w:lineRule="auto"/>
        <w:rPr>
          <w:rFonts w:eastAsia="Times New Roman" w:cstheme="minorHAnsi"/>
          <w:sz w:val="20"/>
          <w:szCs w:val="20"/>
          <w:lang w:eastAsia="pt-BR"/>
        </w:rPr>
      </w:pPr>
      <w:r w:rsidRPr="002B5BA3">
        <w:rPr>
          <w:rFonts w:cstheme="minorHAnsi"/>
          <w:sz w:val="20"/>
          <w:szCs w:val="20"/>
        </w:rPr>
        <w:t xml:space="preserve">Figura </w:t>
      </w:r>
      <w:r>
        <w:rPr>
          <w:rFonts w:cstheme="minorHAnsi"/>
          <w:sz w:val="20"/>
          <w:szCs w:val="20"/>
        </w:rPr>
        <w:t>5</w:t>
      </w:r>
      <w:r w:rsidRPr="002B5BA3">
        <w:rPr>
          <w:rFonts w:cstheme="minorHAnsi"/>
          <w:sz w:val="20"/>
          <w:szCs w:val="20"/>
        </w:rPr>
        <w:t>: Mapa de Interface dos Processos</w:t>
      </w:r>
    </w:p>
    <w:p w:rsidR="004F11AF" w:rsidRDefault="004F11AF" w:rsidP="004F11AF">
      <w:pPr>
        <w:pStyle w:val="Body"/>
        <w:spacing w:line="360" w:lineRule="auto"/>
        <w:rPr>
          <w:rFonts w:ascii="Univers for KPMG" w:hAnsi="Univers for KPMG"/>
        </w:rPr>
      </w:pPr>
      <w:bookmarkStart w:id="21" w:name="_GoBack"/>
      <w:bookmarkEnd w:id="21"/>
    </w:p>
    <w:p w:rsidR="003E1865" w:rsidRPr="00507F62" w:rsidRDefault="003E1865" w:rsidP="004F11AF">
      <w:pPr>
        <w:spacing w:line="360" w:lineRule="auto"/>
        <w:rPr>
          <w:rFonts w:eastAsia="Times New Roman" w:cstheme="minorHAnsi"/>
        </w:rPr>
      </w:pPr>
    </w:p>
    <w:sectPr w:rsidR="003E1865" w:rsidRPr="00507F62" w:rsidSect="00042F73">
      <w:footerReference w:type="default" r:id="rId20"/>
      <w:type w:val="continuous"/>
      <w:pgSz w:w="16838" w:h="11906" w:orient="landscape"/>
      <w:pgMar w:top="1440" w:right="1080" w:bottom="1440" w:left="108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90" w:rsidRDefault="000D0B90" w:rsidP="008D2702">
      <w:r>
        <w:separator/>
      </w:r>
    </w:p>
  </w:endnote>
  <w:endnote w:type="continuationSeparator" w:id="0">
    <w:p w:rsidR="000D0B90" w:rsidRDefault="000D0B90" w:rsidP="008D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for KPMG">
    <w:altName w:val="Trebuchet MS"/>
    <w:charset w:val="00"/>
    <w:family w:val="swiss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BA1" w:rsidRDefault="000A5BA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10C" w:rsidRPr="006E4A1B" w:rsidRDefault="00C7010C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B63605">
      <w:rPr>
        <w:rFonts w:asciiTheme="minorHAnsi" w:hAnsiTheme="minorHAnsi"/>
        <w:noProof/>
        <w:sz w:val="20"/>
      </w:rPr>
      <w:t>8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B63605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</w:p>
  <w:p w:rsidR="00C7010C" w:rsidRDefault="00C701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BA1" w:rsidRDefault="000A5BA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37" w:type="dxa"/>
      <w:jc w:val="center"/>
      <w:tblLook w:val="04A0" w:firstRow="1" w:lastRow="0" w:firstColumn="1" w:lastColumn="0" w:noHBand="0" w:noVBand="1"/>
    </w:tblPr>
    <w:tblGrid>
      <w:gridCol w:w="2879"/>
      <w:gridCol w:w="2879"/>
      <w:gridCol w:w="2879"/>
    </w:tblGrid>
    <w:tr w:rsidR="00F64FF5" w:rsidTr="006E53DC">
      <w:trPr>
        <w:jc w:val="center"/>
      </w:trPr>
      <w:tc>
        <w:tcPr>
          <w:tcW w:w="2879" w:type="dxa"/>
        </w:tcPr>
        <w:p w:rsidR="00F64FF5" w:rsidRDefault="00F64FF5" w:rsidP="00F64FF5">
          <w:pPr>
            <w:pStyle w:val="Rodap"/>
            <w:rPr>
              <w:rFonts w:asciiTheme="minorHAnsi" w:hAnsiTheme="minorHAnsi"/>
              <w:b/>
              <w:sz w:val="20"/>
            </w:rPr>
          </w:pPr>
          <w:r w:rsidRPr="00C7010C">
            <w:rPr>
              <w:rFonts w:asciiTheme="minorHAnsi" w:hAnsiTheme="minorHAnsi"/>
              <w:b/>
              <w:sz w:val="20"/>
            </w:rPr>
            <w:t>Elaborado por:</w:t>
          </w:r>
        </w:p>
        <w:p w:rsidR="00F64FF5" w:rsidRDefault="00F64FF5" w:rsidP="00F64FF5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F64FF5" w:rsidRDefault="00F64FF5" w:rsidP="00F64FF5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Alberto Santos</w:t>
          </w:r>
        </w:p>
        <w:p w:rsidR="00F64FF5" w:rsidRDefault="00F64FF5" w:rsidP="00F64FF5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Assessor de Fiscalização</w:t>
          </w:r>
        </w:p>
      </w:tc>
      <w:tc>
        <w:tcPr>
          <w:tcW w:w="2879" w:type="dxa"/>
        </w:tcPr>
        <w:p w:rsidR="00F64FF5" w:rsidRDefault="00F64FF5" w:rsidP="00F64FF5">
          <w:pPr>
            <w:pStyle w:val="Rodap"/>
            <w:rPr>
              <w:rFonts w:asciiTheme="minorHAnsi" w:hAnsiTheme="minorHAnsi"/>
              <w:b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Revisado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</w:p>
        <w:p w:rsidR="00F64FF5" w:rsidRDefault="00F64FF5" w:rsidP="00F64FF5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F64FF5" w:rsidRDefault="00F64FF5" w:rsidP="00F64FF5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Júlio Gontijo</w:t>
          </w:r>
        </w:p>
        <w:p w:rsidR="00F64FF5" w:rsidRDefault="00F64FF5" w:rsidP="00F64FF5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t>Gerente Executivo de Contratos</w:t>
          </w:r>
        </w:p>
      </w:tc>
      <w:tc>
        <w:tcPr>
          <w:tcW w:w="2879" w:type="dxa"/>
        </w:tcPr>
        <w:p w:rsidR="00F64FF5" w:rsidRDefault="00F64FF5" w:rsidP="00F64FF5">
          <w:pPr>
            <w:pStyle w:val="Rodap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Aprovado</w:t>
          </w:r>
          <w:r w:rsidRPr="00C7010C">
            <w:rPr>
              <w:rFonts w:asciiTheme="minorHAnsi" w:hAnsiTheme="minorHAnsi"/>
              <w:b/>
              <w:sz w:val="20"/>
            </w:rPr>
            <w:t xml:space="preserve"> por:</w:t>
          </w:r>
          <w:r>
            <w:rPr>
              <w:rFonts w:asciiTheme="minorHAnsi" w:hAnsiTheme="minorHAnsi"/>
              <w:sz w:val="20"/>
            </w:rPr>
            <w:t xml:space="preserve"> </w:t>
          </w:r>
        </w:p>
        <w:p w:rsidR="00F64FF5" w:rsidRDefault="00F64FF5" w:rsidP="00F64FF5">
          <w:pPr>
            <w:pStyle w:val="Rodap"/>
            <w:rPr>
              <w:rFonts w:asciiTheme="minorHAnsi" w:hAnsiTheme="minorHAnsi"/>
              <w:b/>
              <w:sz w:val="20"/>
            </w:rPr>
          </w:pPr>
        </w:p>
        <w:p w:rsidR="00F64FF5" w:rsidRPr="00D57776" w:rsidRDefault="00F64FF5" w:rsidP="00F64FF5">
          <w:pPr>
            <w:pStyle w:val="Rodap"/>
            <w:rPr>
              <w:rFonts w:asciiTheme="minorHAnsi" w:hAnsiTheme="minorHAnsi"/>
              <w:sz w:val="20"/>
            </w:rPr>
          </w:pPr>
          <w:r w:rsidRPr="00D57776">
            <w:rPr>
              <w:rFonts w:asciiTheme="minorHAnsi" w:hAnsiTheme="minorHAnsi"/>
              <w:sz w:val="20"/>
            </w:rPr>
            <w:t>H</w:t>
          </w:r>
          <w:r>
            <w:rPr>
              <w:rFonts w:asciiTheme="minorHAnsi" w:hAnsiTheme="minorHAnsi"/>
              <w:sz w:val="20"/>
            </w:rPr>
            <w:t>e</w:t>
          </w:r>
          <w:r w:rsidRPr="00D57776">
            <w:rPr>
              <w:rFonts w:asciiTheme="minorHAnsi" w:hAnsiTheme="minorHAnsi"/>
              <w:sz w:val="20"/>
            </w:rPr>
            <w:t>rcules</w:t>
          </w:r>
          <w:r>
            <w:rPr>
              <w:rFonts w:asciiTheme="minorHAnsi" w:hAnsiTheme="minorHAnsi"/>
              <w:sz w:val="20"/>
            </w:rPr>
            <w:t xml:space="preserve"> Silva</w:t>
          </w:r>
        </w:p>
        <w:p w:rsidR="00F64FF5" w:rsidRPr="00C7010C" w:rsidRDefault="00F64FF5" w:rsidP="00F64FF5">
          <w:pPr>
            <w:pStyle w:val="Rodap"/>
            <w:rPr>
              <w:rFonts w:asciiTheme="minorHAnsi" w:hAnsiTheme="minorHAnsi"/>
              <w:b/>
              <w:sz w:val="20"/>
            </w:rPr>
          </w:pPr>
          <w:r w:rsidRPr="00D57776">
            <w:rPr>
              <w:rFonts w:asciiTheme="minorHAnsi" w:hAnsiTheme="minorHAnsi"/>
              <w:sz w:val="20"/>
            </w:rPr>
            <w:t xml:space="preserve">Diretor de </w:t>
          </w:r>
          <w:r>
            <w:rPr>
              <w:rFonts w:asciiTheme="minorHAnsi" w:hAnsiTheme="minorHAnsi"/>
              <w:sz w:val="20"/>
            </w:rPr>
            <w:t xml:space="preserve">Gestão de </w:t>
          </w:r>
          <w:r w:rsidRPr="00D57776">
            <w:rPr>
              <w:rFonts w:asciiTheme="minorHAnsi" w:hAnsiTheme="minorHAnsi"/>
              <w:sz w:val="20"/>
            </w:rPr>
            <w:t>Contrato</w:t>
          </w:r>
          <w:r>
            <w:rPr>
              <w:rFonts w:asciiTheme="minorHAnsi" w:hAnsiTheme="minorHAnsi"/>
              <w:sz w:val="20"/>
            </w:rPr>
            <w:t>s</w:t>
          </w:r>
        </w:p>
      </w:tc>
    </w:tr>
  </w:tbl>
  <w:p w:rsidR="001C6734" w:rsidRPr="006E4A1B" w:rsidRDefault="001C6734" w:rsidP="001C6734">
    <w:pPr>
      <w:pStyle w:val="Rodap"/>
      <w:spacing w:before="120" w:after="120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B63605">
      <w:rPr>
        <w:rFonts w:asciiTheme="minorHAnsi" w:hAnsiTheme="minorHAnsi"/>
        <w:noProof/>
        <w:sz w:val="20"/>
      </w:rPr>
      <w:t>9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B63605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</w:p>
  <w:p w:rsidR="001C6734" w:rsidRDefault="001C6734">
    <w:pPr>
      <w:pStyle w:val="Rodap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634" w:rsidRPr="006E4A1B" w:rsidRDefault="00AE5634">
    <w:pPr>
      <w:pStyle w:val="Rodap"/>
      <w:jc w:val="center"/>
      <w:rPr>
        <w:rFonts w:asciiTheme="minorHAnsi" w:hAnsiTheme="minorHAnsi"/>
        <w:sz w:val="20"/>
      </w:rPr>
    </w:pPr>
    <w:r w:rsidRPr="006E4A1B">
      <w:rPr>
        <w:rFonts w:asciiTheme="minorHAnsi" w:hAnsiTheme="minorHAnsi"/>
        <w:sz w:val="20"/>
      </w:rPr>
      <w:t xml:space="preserve">Página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PAGE  \* Arabic  \* MERGEFORMAT</w:instrText>
    </w:r>
    <w:r w:rsidRPr="006E4A1B">
      <w:rPr>
        <w:rFonts w:asciiTheme="minorHAnsi" w:hAnsiTheme="minorHAnsi"/>
        <w:sz w:val="20"/>
      </w:rPr>
      <w:fldChar w:fldCharType="separate"/>
    </w:r>
    <w:r w:rsidR="00B63605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  <w:r w:rsidRPr="006E4A1B">
      <w:rPr>
        <w:rFonts w:asciiTheme="minorHAnsi" w:hAnsiTheme="minorHAnsi"/>
        <w:sz w:val="20"/>
      </w:rPr>
      <w:t xml:space="preserve"> de </w:t>
    </w:r>
    <w:r w:rsidRPr="006E4A1B">
      <w:rPr>
        <w:rFonts w:asciiTheme="minorHAnsi" w:hAnsiTheme="minorHAnsi"/>
        <w:sz w:val="20"/>
      </w:rPr>
      <w:fldChar w:fldCharType="begin"/>
    </w:r>
    <w:r w:rsidRPr="006E4A1B">
      <w:rPr>
        <w:rFonts w:asciiTheme="minorHAnsi" w:hAnsiTheme="minorHAnsi"/>
        <w:sz w:val="20"/>
      </w:rPr>
      <w:instrText>NUMPAGES \ * Arábico \ * MERGEFORMAT</w:instrText>
    </w:r>
    <w:r w:rsidRPr="006E4A1B">
      <w:rPr>
        <w:rFonts w:asciiTheme="minorHAnsi" w:hAnsiTheme="minorHAnsi"/>
        <w:sz w:val="20"/>
      </w:rPr>
      <w:fldChar w:fldCharType="separate"/>
    </w:r>
    <w:r w:rsidR="00B63605">
      <w:rPr>
        <w:rFonts w:asciiTheme="minorHAnsi" w:hAnsiTheme="minorHAnsi"/>
        <w:noProof/>
        <w:sz w:val="20"/>
      </w:rPr>
      <w:t>13</w:t>
    </w:r>
    <w:r w:rsidRPr="006E4A1B">
      <w:rPr>
        <w:rFonts w:asciiTheme="minorHAnsi" w:hAnsiTheme="minorHAnsi"/>
        <w:sz w:val="20"/>
      </w:rPr>
      <w:fldChar w:fldCharType="end"/>
    </w:r>
  </w:p>
  <w:p w:rsidR="00AE5634" w:rsidRDefault="00AE563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90" w:rsidRDefault="000D0B90" w:rsidP="008D2702">
      <w:r>
        <w:separator/>
      </w:r>
    </w:p>
  </w:footnote>
  <w:footnote w:type="continuationSeparator" w:id="0">
    <w:p w:rsidR="000D0B90" w:rsidRDefault="000D0B90" w:rsidP="008D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BA1" w:rsidRDefault="000A5BA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page" w:horzAnchor="page" w:tblpXSpec="center" w:tblpY="572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79"/>
      <w:gridCol w:w="4876"/>
      <w:gridCol w:w="1139"/>
      <w:gridCol w:w="1738"/>
    </w:tblGrid>
    <w:tr w:rsidR="00F34D6C" w:rsidRPr="008D2702" w:rsidTr="002F111C">
      <w:trPr>
        <w:trHeight w:hRule="exact" w:val="1134"/>
      </w:trPr>
      <w:tc>
        <w:tcPr>
          <w:tcW w:w="2479" w:type="dxa"/>
          <w:vMerge w:val="restart"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278" w:lineRule="exact"/>
            <w:jc w:val="center"/>
            <w:rPr>
              <w:rFonts w:asciiTheme="majorHAnsi" w:hAnsiTheme="majorHAnsi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669AB6" wp14:editId="7F4A2D3A">
                <wp:simplePos x="0" y="0"/>
                <wp:positionH relativeFrom="column">
                  <wp:posOffset>340360</wp:posOffset>
                </wp:positionH>
                <wp:positionV relativeFrom="paragraph">
                  <wp:posOffset>9525</wp:posOffset>
                </wp:positionV>
                <wp:extent cx="793750" cy="1123315"/>
                <wp:effectExtent l="0" t="0" r="6350" b="635"/>
                <wp:wrapSquare wrapText="bothSides"/>
                <wp:docPr id="15" name="Image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PSA_vertical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750" cy="1123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76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:rsidR="006065AE" w:rsidRDefault="005534B5" w:rsidP="00922BB2">
          <w:pPr>
            <w:jc w:val="center"/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</w:pPr>
          <w:r w:rsidRPr="002676C2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 xml:space="preserve">PROCEDIMENTO DE RECUPERAÇÃO DO </w:t>
          </w:r>
        </w:p>
        <w:p w:rsidR="00F34D6C" w:rsidRPr="00567994" w:rsidRDefault="005534B5" w:rsidP="00922BB2">
          <w:pPr>
            <w:jc w:val="center"/>
            <w:rPr>
              <w:rFonts w:asciiTheme="majorHAnsi" w:hAnsiTheme="majorHAnsi" w:cs="Arial"/>
              <w:sz w:val="20"/>
              <w:szCs w:val="20"/>
            </w:rPr>
          </w:pPr>
          <w:r w:rsidRPr="002676C2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CUSTO EM ÓLEO</w:t>
          </w:r>
        </w:p>
      </w:tc>
      <w:tc>
        <w:tcPr>
          <w:tcW w:w="2877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6E2DF6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PROCEDIMENTO</w:t>
          </w:r>
          <w:r w:rsidR="00F34D6C" w:rsidRPr="00A37EDD">
            <w:rPr>
              <w:rFonts w:asciiTheme="majorHAnsi" w:hAnsiTheme="majorHAnsi" w:cs="Arial"/>
              <w:sz w:val="22"/>
              <w:szCs w:val="20"/>
            </w:rPr>
            <w:t xml:space="preserve"> Nº</w:t>
          </w:r>
        </w:p>
        <w:p w:rsidR="00F34D6C" w:rsidRPr="00A37EDD" w:rsidRDefault="002676C2" w:rsidP="00F34D6C">
          <w:pPr>
            <w:spacing w:line="429" w:lineRule="exact"/>
            <w:ind w:left="170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2676C2">
            <w:rPr>
              <w:rFonts w:asciiTheme="majorHAnsi" w:hAnsiTheme="majorHAnsi" w:cs="Arial"/>
              <w:sz w:val="22"/>
              <w:szCs w:val="20"/>
            </w:rPr>
            <w:t>PP.DAF.001/2017</w:t>
          </w:r>
        </w:p>
      </w:tc>
    </w:tr>
    <w:tr w:rsidR="00F34D6C" w:rsidRPr="008D2702" w:rsidTr="002F111C">
      <w:trPr>
        <w:trHeight w:hRule="exact" w:val="349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492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01" w:lineRule="exact"/>
            <w:ind w:left="108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VERSÃO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01" w:lineRule="exact"/>
            <w:ind w:left="109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spacing w:val="-1"/>
              <w:w w:val="95"/>
              <w:sz w:val="22"/>
              <w:szCs w:val="20"/>
            </w:rPr>
            <w:t>APROVADO EM</w:t>
          </w:r>
        </w:p>
      </w:tc>
    </w:tr>
    <w:tr w:rsidR="00F34D6C" w:rsidRPr="008D2702" w:rsidTr="002F111C">
      <w:trPr>
        <w:trHeight w:hRule="exact" w:val="364"/>
      </w:trPr>
      <w:tc>
        <w:tcPr>
          <w:tcW w:w="2479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4876" w:type="dxa"/>
          <w:vMerge/>
          <w:shd w:val="clear" w:color="auto" w:fill="auto"/>
          <w:tcMar>
            <w:left w:w="0" w:type="dxa"/>
            <w:right w:w="0" w:type="dxa"/>
          </w:tcMar>
        </w:tcPr>
        <w:p w:rsidR="00F34D6C" w:rsidRPr="008D2702" w:rsidRDefault="00F34D6C" w:rsidP="00F34D6C">
          <w:pPr>
            <w:spacing w:line="301" w:lineRule="exact"/>
            <w:jc w:val="center"/>
            <w:rPr>
              <w:rFonts w:asciiTheme="majorHAnsi" w:hAnsiTheme="majorHAnsi"/>
            </w:rPr>
          </w:pPr>
        </w:p>
      </w:tc>
      <w:tc>
        <w:tcPr>
          <w:tcW w:w="1139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 w:rsidRPr="00A37EDD">
            <w:rPr>
              <w:rFonts w:asciiTheme="majorHAnsi" w:hAnsiTheme="majorHAnsi" w:cs="Arial"/>
              <w:noProof/>
              <w:color w:val="000000"/>
              <w:w w:val="95"/>
              <w:sz w:val="22"/>
              <w:szCs w:val="20"/>
            </w:rPr>
            <w:t>00</w:t>
          </w:r>
        </w:p>
      </w:tc>
      <w:tc>
        <w:tcPr>
          <w:tcW w:w="1738" w:type="dxa"/>
          <w:shd w:val="clear" w:color="auto" w:fill="auto"/>
          <w:tcMar>
            <w:left w:w="0" w:type="dxa"/>
            <w:right w:w="0" w:type="dxa"/>
          </w:tcMar>
        </w:tcPr>
        <w:p w:rsidR="00F34D6C" w:rsidRPr="00A37EDD" w:rsidRDefault="00F34D6C" w:rsidP="00F34D6C">
          <w:pPr>
            <w:spacing w:line="318" w:lineRule="exact"/>
            <w:jc w:val="center"/>
            <w:rPr>
              <w:rFonts w:asciiTheme="majorHAnsi" w:hAnsiTheme="majorHAnsi" w:cs="Arial"/>
              <w:sz w:val="22"/>
              <w:szCs w:val="20"/>
            </w:rPr>
          </w:pPr>
          <w:r>
            <w:rPr>
              <w:rFonts w:asciiTheme="majorHAnsi" w:hAnsiTheme="majorHAnsi" w:cs="Arial"/>
              <w:sz w:val="22"/>
              <w:szCs w:val="20"/>
            </w:rPr>
            <w:t>##</w:t>
          </w:r>
          <w:r w:rsidRPr="00A37EDD">
            <w:rPr>
              <w:rFonts w:asciiTheme="majorHAnsi" w:hAnsiTheme="majorHAnsi" w:cs="Arial"/>
              <w:sz w:val="22"/>
              <w:szCs w:val="20"/>
            </w:rPr>
            <w:t>/</w:t>
          </w:r>
          <w:r>
            <w:rPr>
              <w:rFonts w:asciiTheme="majorHAnsi" w:hAnsiTheme="majorHAnsi" w:cs="Arial"/>
              <w:sz w:val="22"/>
              <w:szCs w:val="20"/>
            </w:rPr>
            <w:t>##/</w:t>
          </w:r>
          <w:r w:rsidRPr="00A37EDD">
            <w:rPr>
              <w:rFonts w:asciiTheme="majorHAnsi" w:hAnsiTheme="majorHAnsi" w:cs="Arial"/>
              <w:sz w:val="22"/>
              <w:szCs w:val="20"/>
            </w:rPr>
            <w:t>20</w:t>
          </w:r>
          <w:r>
            <w:rPr>
              <w:rFonts w:asciiTheme="majorHAnsi" w:hAnsiTheme="majorHAnsi" w:cs="Arial"/>
              <w:sz w:val="22"/>
              <w:szCs w:val="20"/>
            </w:rPr>
            <w:t>##</w:t>
          </w:r>
        </w:p>
      </w:tc>
    </w:tr>
  </w:tbl>
  <w:p w:rsidR="00F34D6C" w:rsidRDefault="00F34D6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BA1" w:rsidRDefault="000A5BA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549E"/>
    <w:multiLevelType w:val="multilevel"/>
    <w:tmpl w:val="8CC00532"/>
    <w:lvl w:ilvl="0">
      <w:start w:val="1"/>
      <w:numFmt w:val="decimal"/>
      <w:pStyle w:val="Style1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432"/>
      </w:pPr>
    </w:lvl>
    <w:lvl w:ilvl="2">
      <w:start w:val="1"/>
      <w:numFmt w:val="decimal"/>
      <w:lvlText w:val="%1.%2.%3."/>
      <w:lvlJc w:val="left"/>
      <w:pPr>
        <w:ind w:left="150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06" w:hanging="648"/>
      </w:pPr>
    </w:lvl>
    <w:lvl w:ilvl="4">
      <w:start w:val="1"/>
      <w:numFmt w:val="decimal"/>
      <w:lvlText w:val="%1.%2.%3.%4.%5."/>
      <w:lvlJc w:val="left"/>
      <w:pPr>
        <w:ind w:left="2510" w:hanging="792"/>
      </w:pPr>
    </w:lvl>
    <w:lvl w:ilvl="5">
      <w:start w:val="1"/>
      <w:numFmt w:val="decimal"/>
      <w:lvlText w:val="%1.%2.%3.%4.%5.%6."/>
      <w:lvlJc w:val="left"/>
      <w:pPr>
        <w:ind w:left="3014" w:hanging="936"/>
      </w:pPr>
    </w:lvl>
    <w:lvl w:ilvl="6">
      <w:start w:val="1"/>
      <w:numFmt w:val="decimal"/>
      <w:lvlText w:val="%1.%2.%3.%4.%5.%6.%7."/>
      <w:lvlJc w:val="left"/>
      <w:pPr>
        <w:ind w:left="3518" w:hanging="1080"/>
      </w:pPr>
    </w:lvl>
    <w:lvl w:ilvl="7">
      <w:start w:val="1"/>
      <w:numFmt w:val="decimal"/>
      <w:lvlText w:val="%1.%2.%3.%4.%5.%6.%7.%8."/>
      <w:lvlJc w:val="left"/>
      <w:pPr>
        <w:ind w:left="4022" w:hanging="1224"/>
      </w:pPr>
    </w:lvl>
    <w:lvl w:ilvl="8">
      <w:start w:val="1"/>
      <w:numFmt w:val="decimal"/>
      <w:lvlText w:val="%1.%2.%3.%4.%5.%6.%7.%8.%9."/>
      <w:lvlJc w:val="left"/>
      <w:pPr>
        <w:ind w:left="4598" w:hanging="1440"/>
      </w:pPr>
    </w:lvl>
  </w:abstractNum>
  <w:abstractNum w:abstractNumId="1" w15:restartNumberingAfterBreak="0">
    <w:nsid w:val="15B91C22"/>
    <w:multiLevelType w:val="hybridMultilevel"/>
    <w:tmpl w:val="D69CA4A0"/>
    <w:lvl w:ilvl="0" w:tplc="A91AD506">
      <w:start w:val="1"/>
      <w:numFmt w:val="lowerRoman"/>
      <w:lvlText w:val="%1."/>
      <w:lvlJc w:val="left"/>
      <w:pPr>
        <w:ind w:left="211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73" w:hanging="360"/>
      </w:pPr>
    </w:lvl>
    <w:lvl w:ilvl="2" w:tplc="0416001B" w:tentative="1">
      <w:start w:val="1"/>
      <w:numFmt w:val="lowerRoman"/>
      <w:lvlText w:val="%3."/>
      <w:lvlJc w:val="right"/>
      <w:pPr>
        <w:ind w:left="3193" w:hanging="180"/>
      </w:pPr>
    </w:lvl>
    <w:lvl w:ilvl="3" w:tplc="0416000F" w:tentative="1">
      <w:start w:val="1"/>
      <w:numFmt w:val="decimal"/>
      <w:lvlText w:val="%4."/>
      <w:lvlJc w:val="left"/>
      <w:pPr>
        <w:ind w:left="3913" w:hanging="360"/>
      </w:pPr>
    </w:lvl>
    <w:lvl w:ilvl="4" w:tplc="04160019" w:tentative="1">
      <w:start w:val="1"/>
      <w:numFmt w:val="lowerLetter"/>
      <w:lvlText w:val="%5."/>
      <w:lvlJc w:val="left"/>
      <w:pPr>
        <w:ind w:left="4633" w:hanging="360"/>
      </w:pPr>
    </w:lvl>
    <w:lvl w:ilvl="5" w:tplc="0416001B" w:tentative="1">
      <w:start w:val="1"/>
      <w:numFmt w:val="lowerRoman"/>
      <w:lvlText w:val="%6."/>
      <w:lvlJc w:val="right"/>
      <w:pPr>
        <w:ind w:left="5353" w:hanging="180"/>
      </w:pPr>
    </w:lvl>
    <w:lvl w:ilvl="6" w:tplc="0416000F" w:tentative="1">
      <w:start w:val="1"/>
      <w:numFmt w:val="decimal"/>
      <w:lvlText w:val="%7."/>
      <w:lvlJc w:val="left"/>
      <w:pPr>
        <w:ind w:left="6073" w:hanging="360"/>
      </w:pPr>
    </w:lvl>
    <w:lvl w:ilvl="7" w:tplc="04160019" w:tentative="1">
      <w:start w:val="1"/>
      <w:numFmt w:val="lowerLetter"/>
      <w:lvlText w:val="%8."/>
      <w:lvlJc w:val="left"/>
      <w:pPr>
        <w:ind w:left="6793" w:hanging="360"/>
      </w:pPr>
    </w:lvl>
    <w:lvl w:ilvl="8" w:tplc="0416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2" w15:restartNumberingAfterBreak="0">
    <w:nsid w:val="16016883"/>
    <w:multiLevelType w:val="multilevel"/>
    <w:tmpl w:val="7AC67FA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3BC175F"/>
    <w:multiLevelType w:val="hybridMultilevel"/>
    <w:tmpl w:val="B296D608"/>
    <w:lvl w:ilvl="0" w:tplc="0416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4CAF101D"/>
    <w:multiLevelType w:val="hybridMultilevel"/>
    <w:tmpl w:val="C264E872"/>
    <w:lvl w:ilvl="0" w:tplc="04160005">
      <w:start w:val="1"/>
      <w:numFmt w:val="bullet"/>
      <w:lvlText w:val=""/>
      <w:lvlJc w:val="left"/>
      <w:pPr>
        <w:ind w:left="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5" w15:restartNumberingAfterBreak="0">
    <w:nsid w:val="52C46D15"/>
    <w:multiLevelType w:val="hybridMultilevel"/>
    <w:tmpl w:val="302A3A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60421"/>
    <w:multiLevelType w:val="multilevel"/>
    <w:tmpl w:val="C8D4F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72326EB"/>
    <w:multiLevelType w:val="hybridMultilevel"/>
    <w:tmpl w:val="7AA815AC"/>
    <w:lvl w:ilvl="0" w:tplc="04160017">
      <w:start w:val="1"/>
      <w:numFmt w:val="lowerLetter"/>
      <w:lvlText w:val="%1)"/>
      <w:lvlJc w:val="left"/>
      <w:pPr>
        <w:ind w:left="2357" w:hanging="360"/>
      </w:pPr>
    </w:lvl>
    <w:lvl w:ilvl="1" w:tplc="04090019" w:tentative="1">
      <w:start w:val="1"/>
      <w:numFmt w:val="lowerLetter"/>
      <w:lvlText w:val="%2."/>
      <w:lvlJc w:val="left"/>
      <w:pPr>
        <w:ind w:left="3077" w:hanging="360"/>
      </w:pPr>
    </w:lvl>
    <w:lvl w:ilvl="2" w:tplc="0409001B" w:tentative="1">
      <w:start w:val="1"/>
      <w:numFmt w:val="lowerRoman"/>
      <w:lvlText w:val="%3."/>
      <w:lvlJc w:val="right"/>
      <w:pPr>
        <w:ind w:left="3797" w:hanging="180"/>
      </w:pPr>
    </w:lvl>
    <w:lvl w:ilvl="3" w:tplc="0409000F" w:tentative="1">
      <w:start w:val="1"/>
      <w:numFmt w:val="decimal"/>
      <w:lvlText w:val="%4."/>
      <w:lvlJc w:val="left"/>
      <w:pPr>
        <w:ind w:left="4517" w:hanging="360"/>
      </w:pPr>
    </w:lvl>
    <w:lvl w:ilvl="4" w:tplc="04090019" w:tentative="1">
      <w:start w:val="1"/>
      <w:numFmt w:val="lowerLetter"/>
      <w:lvlText w:val="%5."/>
      <w:lvlJc w:val="left"/>
      <w:pPr>
        <w:ind w:left="5237" w:hanging="360"/>
      </w:pPr>
    </w:lvl>
    <w:lvl w:ilvl="5" w:tplc="0409001B" w:tentative="1">
      <w:start w:val="1"/>
      <w:numFmt w:val="lowerRoman"/>
      <w:lvlText w:val="%6."/>
      <w:lvlJc w:val="right"/>
      <w:pPr>
        <w:ind w:left="5957" w:hanging="180"/>
      </w:pPr>
    </w:lvl>
    <w:lvl w:ilvl="6" w:tplc="0409000F" w:tentative="1">
      <w:start w:val="1"/>
      <w:numFmt w:val="decimal"/>
      <w:lvlText w:val="%7."/>
      <w:lvlJc w:val="left"/>
      <w:pPr>
        <w:ind w:left="6677" w:hanging="360"/>
      </w:pPr>
    </w:lvl>
    <w:lvl w:ilvl="7" w:tplc="04090019" w:tentative="1">
      <w:start w:val="1"/>
      <w:numFmt w:val="lowerLetter"/>
      <w:lvlText w:val="%8."/>
      <w:lvlJc w:val="left"/>
      <w:pPr>
        <w:ind w:left="7397" w:hanging="360"/>
      </w:pPr>
    </w:lvl>
    <w:lvl w:ilvl="8" w:tplc="040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8" w15:restartNumberingAfterBreak="0">
    <w:nsid w:val="58EA4565"/>
    <w:multiLevelType w:val="hybridMultilevel"/>
    <w:tmpl w:val="D18EF492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303425B"/>
    <w:multiLevelType w:val="hybridMultilevel"/>
    <w:tmpl w:val="D780E77C"/>
    <w:lvl w:ilvl="0" w:tplc="B3FC5B3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A1B37"/>
    <w:multiLevelType w:val="hybridMultilevel"/>
    <w:tmpl w:val="A9B89D98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6CD1966"/>
    <w:multiLevelType w:val="multilevel"/>
    <w:tmpl w:val="16228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741515E0"/>
    <w:multiLevelType w:val="hybridMultilevel"/>
    <w:tmpl w:val="E8C4377A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2A4E5F"/>
    <w:multiLevelType w:val="hybridMultilevel"/>
    <w:tmpl w:val="F5648476"/>
    <w:lvl w:ilvl="0" w:tplc="0416001B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4" w:hanging="360"/>
      </w:pPr>
    </w:lvl>
    <w:lvl w:ilvl="2" w:tplc="0416001B" w:tentative="1">
      <w:start w:val="1"/>
      <w:numFmt w:val="lowerRoman"/>
      <w:lvlText w:val="%3."/>
      <w:lvlJc w:val="right"/>
      <w:pPr>
        <w:ind w:left="2194" w:hanging="180"/>
      </w:pPr>
    </w:lvl>
    <w:lvl w:ilvl="3" w:tplc="0416000F" w:tentative="1">
      <w:start w:val="1"/>
      <w:numFmt w:val="decimal"/>
      <w:lvlText w:val="%4."/>
      <w:lvlJc w:val="left"/>
      <w:pPr>
        <w:ind w:left="2914" w:hanging="360"/>
      </w:pPr>
    </w:lvl>
    <w:lvl w:ilvl="4" w:tplc="04160019" w:tentative="1">
      <w:start w:val="1"/>
      <w:numFmt w:val="lowerLetter"/>
      <w:lvlText w:val="%5."/>
      <w:lvlJc w:val="left"/>
      <w:pPr>
        <w:ind w:left="3634" w:hanging="360"/>
      </w:pPr>
    </w:lvl>
    <w:lvl w:ilvl="5" w:tplc="0416001B" w:tentative="1">
      <w:start w:val="1"/>
      <w:numFmt w:val="lowerRoman"/>
      <w:lvlText w:val="%6."/>
      <w:lvlJc w:val="right"/>
      <w:pPr>
        <w:ind w:left="4354" w:hanging="180"/>
      </w:pPr>
    </w:lvl>
    <w:lvl w:ilvl="6" w:tplc="0416000F" w:tentative="1">
      <w:start w:val="1"/>
      <w:numFmt w:val="decimal"/>
      <w:lvlText w:val="%7."/>
      <w:lvlJc w:val="left"/>
      <w:pPr>
        <w:ind w:left="5074" w:hanging="360"/>
      </w:pPr>
    </w:lvl>
    <w:lvl w:ilvl="7" w:tplc="04160019" w:tentative="1">
      <w:start w:val="1"/>
      <w:numFmt w:val="lowerLetter"/>
      <w:lvlText w:val="%8."/>
      <w:lvlJc w:val="left"/>
      <w:pPr>
        <w:ind w:left="5794" w:hanging="360"/>
      </w:pPr>
    </w:lvl>
    <w:lvl w:ilvl="8" w:tplc="041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7F384FCD"/>
    <w:multiLevelType w:val="hybridMultilevel"/>
    <w:tmpl w:val="51405F7A"/>
    <w:lvl w:ilvl="0" w:tplc="04160005">
      <w:start w:val="1"/>
      <w:numFmt w:val="bullet"/>
      <w:lvlText w:val=""/>
      <w:lvlJc w:val="left"/>
      <w:pPr>
        <w:ind w:left="13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1"/>
  </w:num>
  <w:num w:numId="5">
    <w:abstractNumId w:val="6"/>
  </w:num>
  <w:num w:numId="6">
    <w:abstractNumId w:val="12"/>
  </w:num>
  <w:num w:numId="7">
    <w:abstractNumId w:val="8"/>
  </w:num>
  <w:num w:numId="8">
    <w:abstractNumId w:val="14"/>
  </w:num>
  <w:num w:numId="9">
    <w:abstractNumId w:val="10"/>
  </w:num>
  <w:num w:numId="10">
    <w:abstractNumId w:val="5"/>
  </w:num>
  <w:num w:numId="11">
    <w:abstractNumId w:val="13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9"/>
  </w:num>
  <w:num w:numId="21">
    <w:abstractNumId w:val="6"/>
  </w:num>
  <w:num w:numId="22">
    <w:abstractNumId w:val="7"/>
  </w:num>
  <w:num w:numId="2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76"/>
    <w:rsid w:val="00013A8B"/>
    <w:rsid w:val="00034DBC"/>
    <w:rsid w:val="00042F73"/>
    <w:rsid w:val="0005327E"/>
    <w:rsid w:val="00067B21"/>
    <w:rsid w:val="00071C84"/>
    <w:rsid w:val="00080ACC"/>
    <w:rsid w:val="000862AF"/>
    <w:rsid w:val="00093CF6"/>
    <w:rsid w:val="000A5BA1"/>
    <w:rsid w:val="000B56E5"/>
    <w:rsid w:val="000B7086"/>
    <w:rsid w:val="000C6A5A"/>
    <w:rsid w:val="000D0B90"/>
    <w:rsid w:val="000D23E1"/>
    <w:rsid w:val="00117097"/>
    <w:rsid w:val="00194178"/>
    <w:rsid w:val="001B0D58"/>
    <w:rsid w:val="001C4711"/>
    <w:rsid w:val="001C6734"/>
    <w:rsid w:val="001D0B80"/>
    <w:rsid w:val="001D126B"/>
    <w:rsid w:val="001D5364"/>
    <w:rsid w:val="001F0D4D"/>
    <w:rsid w:val="001F3DF9"/>
    <w:rsid w:val="00235BA2"/>
    <w:rsid w:val="00243A29"/>
    <w:rsid w:val="00250AD6"/>
    <w:rsid w:val="00255FA8"/>
    <w:rsid w:val="002604B5"/>
    <w:rsid w:val="002676C2"/>
    <w:rsid w:val="00267974"/>
    <w:rsid w:val="0027071E"/>
    <w:rsid w:val="00292F87"/>
    <w:rsid w:val="002A14B3"/>
    <w:rsid w:val="002B41C1"/>
    <w:rsid w:val="002B4556"/>
    <w:rsid w:val="002B46A6"/>
    <w:rsid w:val="00305049"/>
    <w:rsid w:val="003122FC"/>
    <w:rsid w:val="0031438E"/>
    <w:rsid w:val="003174A8"/>
    <w:rsid w:val="00380D95"/>
    <w:rsid w:val="003E1865"/>
    <w:rsid w:val="003E18D5"/>
    <w:rsid w:val="003E7E7F"/>
    <w:rsid w:val="003F3650"/>
    <w:rsid w:val="00451F14"/>
    <w:rsid w:val="00473864"/>
    <w:rsid w:val="00484A4B"/>
    <w:rsid w:val="00484E91"/>
    <w:rsid w:val="00495535"/>
    <w:rsid w:val="004A1BE3"/>
    <w:rsid w:val="004B41E7"/>
    <w:rsid w:val="004C2060"/>
    <w:rsid w:val="004C474A"/>
    <w:rsid w:val="004F11AF"/>
    <w:rsid w:val="00502A6A"/>
    <w:rsid w:val="00507F62"/>
    <w:rsid w:val="00511977"/>
    <w:rsid w:val="00521FC8"/>
    <w:rsid w:val="005267C2"/>
    <w:rsid w:val="00533048"/>
    <w:rsid w:val="00551FC8"/>
    <w:rsid w:val="005534B5"/>
    <w:rsid w:val="00563267"/>
    <w:rsid w:val="00567443"/>
    <w:rsid w:val="00567994"/>
    <w:rsid w:val="00572692"/>
    <w:rsid w:val="00593256"/>
    <w:rsid w:val="005B6025"/>
    <w:rsid w:val="005E296D"/>
    <w:rsid w:val="006065AE"/>
    <w:rsid w:val="00622F37"/>
    <w:rsid w:val="00630F7E"/>
    <w:rsid w:val="00654FE9"/>
    <w:rsid w:val="00677789"/>
    <w:rsid w:val="00691D57"/>
    <w:rsid w:val="006B0750"/>
    <w:rsid w:val="006B62A7"/>
    <w:rsid w:val="006B7BEE"/>
    <w:rsid w:val="006E2DF6"/>
    <w:rsid w:val="006E3861"/>
    <w:rsid w:val="006E4A1B"/>
    <w:rsid w:val="006F7853"/>
    <w:rsid w:val="007124B3"/>
    <w:rsid w:val="00712C75"/>
    <w:rsid w:val="007254CF"/>
    <w:rsid w:val="00732A97"/>
    <w:rsid w:val="00743468"/>
    <w:rsid w:val="00772A7C"/>
    <w:rsid w:val="0077608D"/>
    <w:rsid w:val="007836D0"/>
    <w:rsid w:val="007C3715"/>
    <w:rsid w:val="007F4E68"/>
    <w:rsid w:val="008114AF"/>
    <w:rsid w:val="0084759B"/>
    <w:rsid w:val="008541BF"/>
    <w:rsid w:val="0088677F"/>
    <w:rsid w:val="008A1411"/>
    <w:rsid w:val="008D2702"/>
    <w:rsid w:val="008F1071"/>
    <w:rsid w:val="00922BB2"/>
    <w:rsid w:val="00946460"/>
    <w:rsid w:val="00951A09"/>
    <w:rsid w:val="00963B25"/>
    <w:rsid w:val="009730D3"/>
    <w:rsid w:val="00993E5E"/>
    <w:rsid w:val="009B0F6F"/>
    <w:rsid w:val="009B17BD"/>
    <w:rsid w:val="009B7F76"/>
    <w:rsid w:val="009D01BE"/>
    <w:rsid w:val="009D3B41"/>
    <w:rsid w:val="009F6898"/>
    <w:rsid w:val="00A03763"/>
    <w:rsid w:val="00A1094A"/>
    <w:rsid w:val="00A1137C"/>
    <w:rsid w:val="00A22989"/>
    <w:rsid w:val="00A348CD"/>
    <w:rsid w:val="00A37EDD"/>
    <w:rsid w:val="00A444E0"/>
    <w:rsid w:val="00A44B4B"/>
    <w:rsid w:val="00A7434C"/>
    <w:rsid w:val="00A966FB"/>
    <w:rsid w:val="00AB5D0E"/>
    <w:rsid w:val="00AC571B"/>
    <w:rsid w:val="00AD5E3A"/>
    <w:rsid w:val="00AE5634"/>
    <w:rsid w:val="00AF5C44"/>
    <w:rsid w:val="00B1433F"/>
    <w:rsid w:val="00B20B58"/>
    <w:rsid w:val="00B22691"/>
    <w:rsid w:val="00B32BDD"/>
    <w:rsid w:val="00B33CE9"/>
    <w:rsid w:val="00B438F5"/>
    <w:rsid w:val="00B616DC"/>
    <w:rsid w:val="00B63605"/>
    <w:rsid w:val="00B82535"/>
    <w:rsid w:val="00B91B6D"/>
    <w:rsid w:val="00B95FD3"/>
    <w:rsid w:val="00BA5A69"/>
    <w:rsid w:val="00BB4BA9"/>
    <w:rsid w:val="00BC28B8"/>
    <w:rsid w:val="00BE6808"/>
    <w:rsid w:val="00BF19A0"/>
    <w:rsid w:val="00BF27AA"/>
    <w:rsid w:val="00C33842"/>
    <w:rsid w:val="00C45B97"/>
    <w:rsid w:val="00C56D8F"/>
    <w:rsid w:val="00C64867"/>
    <w:rsid w:val="00C655D0"/>
    <w:rsid w:val="00C7010C"/>
    <w:rsid w:val="00CC34E5"/>
    <w:rsid w:val="00CC3566"/>
    <w:rsid w:val="00CC797A"/>
    <w:rsid w:val="00CE6C54"/>
    <w:rsid w:val="00CF10F5"/>
    <w:rsid w:val="00D25291"/>
    <w:rsid w:val="00D4367B"/>
    <w:rsid w:val="00D547C3"/>
    <w:rsid w:val="00D57776"/>
    <w:rsid w:val="00D86A59"/>
    <w:rsid w:val="00D91476"/>
    <w:rsid w:val="00DA0EAE"/>
    <w:rsid w:val="00DE4573"/>
    <w:rsid w:val="00DF215C"/>
    <w:rsid w:val="00E325E5"/>
    <w:rsid w:val="00E92425"/>
    <w:rsid w:val="00E952B6"/>
    <w:rsid w:val="00EB760D"/>
    <w:rsid w:val="00EE088A"/>
    <w:rsid w:val="00EE0DBC"/>
    <w:rsid w:val="00F113BE"/>
    <w:rsid w:val="00F114B3"/>
    <w:rsid w:val="00F34D6C"/>
    <w:rsid w:val="00F40719"/>
    <w:rsid w:val="00F43A06"/>
    <w:rsid w:val="00F47E29"/>
    <w:rsid w:val="00F64FF5"/>
    <w:rsid w:val="00F73D05"/>
    <w:rsid w:val="00FB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F7FD48-37BE-422D-8A6C-31599A51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476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80D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1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270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2702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80D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0D95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380D95"/>
    <w:pPr>
      <w:spacing w:after="1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80D95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7C3715"/>
    <w:pPr>
      <w:ind w:left="720"/>
      <w:contextualSpacing/>
    </w:pPr>
  </w:style>
  <w:style w:type="table" w:styleId="Tabelacomgrade">
    <w:name w:val="Table Grid"/>
    <w:basedOn w:val="Tabelanormal"/>
    <w:uiPriority w:val="39"/>
    <w:rsid w:val="00A9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C7010C"/>
  </w:style>
  <w:style w:type="paragraph" w:styleId="Corpodetexto">
    <w:name w:val="Body Text"/>
    <w:basedOn w:val="Normal"/>
    <w:link w:val="CorpodetextoChar"/>
    <w:rsid w:val="00235BA2"/>
    <w:pPr>
      <w:jc w:val="both"/>
    </w:pPr>
    <w:rPr>
      <w:rFonts w:ascii="Arial" w:eastAsia="Times New Roman" w:hAnsi="Arial"/>
      <w:bCs/>
      <w:i/>
      <w:iCs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235BA2"/>
    <w:rPr>
      <w:rFonts w:ascii="Arial" w:eastAsia="Times New Roman" w:hAnsi="Arial" w:cs="Times New Roman"/>
      <w:bCs/>
      <w:i/>
      <w:iCs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35BA2"/>
    <w:pPr>
      <w:spacing w:after="100"/>
      <w:ind w:left="1920"/>
    </w:pPr>
  </w:style>
  <w:style w:type="paragraph" w:customStyle="1" w:styleId="Body">
    <w:name w:val="Body"/>
    <w:basedOn w:val="Normal"/>
    <w:link w:val="BodyChar"/>
    <w:qFormat/>
    <w:rsid w:val="00235BA2"/>
    <w:pPr>
      <w:spacing w:before="120" w:line="259" w:lineRule="auto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BodyChar">
    <w:name w:val="Body Char"/>
    <w:basedOn w:val="Fontepargpadro"/>
    <w:link w:val="Body"/>
    <w:rsid w:val="00235BA2"/>
  </w:style>
  <w:style w:type="paragraph" w:styleId="Textodenotaderodap">
    <w:name w:val="footnote text"/>
    <w:basedOn w:val="Normal"/>
    <w:link w:val="TextodenotaderodapChar"/>
    <w:uiPriority w:val="99"/>
    <w:semiHidden/>
    <w:rsid w:val="003E1865"/>
    <w:pPr>
      <w:jc w:val="both"/>
    </w:pPr>
    <w:rPr>
      <w:rFonts w:ascii="Arial" w:eastAsia="Times New Roman" w:hAnsi="Arial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1865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uiPriority w:val="99"/>
    <w:rsid w:val="003E1865"/>
    <w:rPr>
      <w:vertAlign w:val="superscript"/>
    </w:rPr>
  </w:style>
  <w:style w:type="paragraph" w:customStyle="1" w:styleId="Default">
    <w:name w:val="Default"/>
    <w:rsid w:val="003E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3E18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18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1865"/>
    <w:rPr>
      <w:rFonts w:ascii="Segoe UI" w:hAnsi="Segoe UI" w:cs="Segoe UI"/>
      <w:sz w:val="18"/>
      <w:szCs w:val="18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C20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umrio3">
    <w:name w:val="toc 3"/>
    <w:basedOn w:val="Normal"/>
    <w:next w:val="Normal"/>
    <w:autoRedefine/>
    <w:uiPriority w:val="39"/>
    <w:unhideWhenUsed/>
    <w:rsid w:val="004C20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Style1">
    <w:name w:val="Style1"/>
    <w:basedOn w:val="Ttulo1"/>
    <w:link w:val="Style1Char"/>
    <w:qFormat/>
    <w:rsid w:val="007254CF"/>
    <w:pPr>
      <w:numPr>
        <w:numId w:val="2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paragraph" w:customStyle="1" w:styleId="Style2">
    <w:name w:val="Style2"/>
    <w:basedOn w:val="Ttulo2"/>
    <w:link w:val="Style2Char"/>
    <w:qFormat/>
    <w:rsid w:val="007254CF"/>
    <w:pPr>
      <w:numPr>
        <w:ilvl w:val="1"/>
        <w:numId w:val="4"/>
      </w:numPr>
      <w:spacing w:after="240"/>
    </w:pPr>
    <w:rPr>
      <w:rFonts w:asciiTheme="minorHAnsi" w:eastAsia="Times New Roman" w:hAnsiTheme="minorHAnsi" w:cstheme="minorHAnsi"/>
      <w:color w:val="000000" w:themeColor="text1"/>
      <w:sz w:val="24"/>
      <w:szCs w:val="24"/>
    </w:rPr>
  </w:style>
  <w:style w:type="character" w:customStyle="1" w:styleId="Style1Char">
    <w:name w:val="Style1 Char"/>
    <w:basedOn w:val="Ttulo1Char"/>
    <w:link w:val="Style1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customStyle="1" w:styleId="Style3">
    <w:name w:val="Style3"/>
    <w:basedOn w:val="PargrafodaLista"/>
    <w:link w:val="Style3Char"/>
    <w:qFormat/>
    <w:rsid w:val="00255FA8"/>
    <w:pPr>
      <w:numPr>
        <w:ilvl w:val="2"/>
        <w:numId w:val="5"/>
      </w:numPr>
      <w:spacing w:before="240" w:after="240" w:line="360" w:lineRule="auto"/>
      <w:jc w:val="both"/>
    </w:pPr>
    <w:rPr>
      <w:rFonts w:asciiTheme="minorHAnsi" w:hAnsiTheme="minorHAnsi" w:cstheme="minorHAnsi"/>
    </w:rPr>
  </w:style>
  <w:style w:type="character" w:customStyle="1" w:styleId="Style2Char">
    <w:name w:val="Style2 Char"/>
    <w:basedOn w:val="Ttulo2Char"/>
    <w:link w:val="Style2"/>
    <w:rsid w:val="007254CF"/>
    <w:rPr>
      <w:rFonts w:asciiTheme="majorHAnsi" w:eastAsia="Times New Roman" w:hAnsiTheme="majorHAnsi" w:cstheme="minorHAnsi"/>
      <w:color w:val="000000" w:themeColor="text1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qFormat/>
    <w:rsid w:val="00502A6A"/>
    <w:pPr>
      <w:spacing w:before="120" w:after="120"/>
      <w:jc w:val="both"/>
    </w:pPr>
    <w:rPr>
      <w:rFonts w:ascii="Arial" w:eastAsia="Times New Roman" w:hAnsi="Arial"/>
      <w:b/>
      <w:bCs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55FA8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Style3Char">
    <w:name w:val="Style3 Char"/>
    <w:basedOn w:val="PargrafodaListaChar"/>
    <w:link w:val="Style3"/>
    <w:rsid w:val="00255FA8"/>
    <w:rPr>
      <w:rFonts w:ascii="Times New Roman" w:hAnsi="Times New Roman" w:cstheme="minorHAnsi"/>
      <w:sz w:val="24"/>
      <w:szCs w:val="24"/>
      <w:lang w:eastAsia="pt-BR"/>
    </w:rPr>
  </w:style>
  <w:style w:type="paragraph" w:customStyle="1" w:styleId="Blockident5">
    <w:name w:val="Block ident 5"/>
    <w:basedOn w:val="Normal"/>
    <w:link w:val="Blockident5Char"/>
    <w:rsid w:val="002676C2"/>
    <w:pPr>
      <w:tabs>
        <w:tab w:val="left" w:pos="1701"/>
        <w:tab w:val="left" w:pos="2552"/>
      </w:tabs>
      <w:spacing w:before="40"/>
      <w:ind w:left="1701" w:right="142" w:hanging="1134"/>
      <w:jc w:val="both"/>
    </w:pPr>
    <w:rPr>
      <w:rFonts w:ascii="Arial" w:eastAsia="Batang" w:hAnsi="Arial"/>
      <w:sz w:val="22"/>
      <w:szCs w:val="22"/>
      <w:lang w:val="en-US"/>
    </w:rPr>
  </w:style>
  <w:style w:type="character" w:customStyle="1" w:styleId="Blockident5Char">
    <w:name w:val="Block ident 5 Char"/>
    <w:link w:val="Blockident5"/>
    <w:rsid w:val="002676C2"/>
    <w:rPr>
      <w:rFonts w:ascii="Arial" w:eastAsia="Batang" w:hAnsi="Arial" w:cs="Times New Roman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5AE55-54E3-48DA-8D45-64CABF4F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2194</Words>
  <Characters>11849</Characters>
  <Application>Microsoft Office Word</Application>
  <DocSecurity>0</DocSecurity>
  <Lines>98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Carlos Eduardo Medeiros de Carvalho</cp:lastModifiedBy>
  <cp:revision>4</cp:revision>
  <cp:lastPrinted>2017-06-23T18:14:00Z</cp:lastPrinted>
  <dcterms:created xsi:type="dcterms:W3CDTF">2017-09-15T14:42:00Z</dcterms:created>
  <dcterms:modified xsi:type="dcterms:W3CDTF">2018-02-07T16:14:00Z</dcterms:modified>
</cp:coreProperties>
</file>