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BB2" w:rsidRPr="0082394C" w:rsidRDefault="00922BB2" w:rsidP="0082394C">
      <w:pPr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82394C">
        <w:rPr>
          <w:rFonts w:asciiTheme="minorHAnsi" w:hAnsiTheme="minorHAnsi" w:cstheme="minorHAnsi"/>
          <w:b/>
          <w:sz w:val="22"/>
          <w:szCs w:val="22"/>
          <w:lang w:eastAsia="en-US"/>
        </w:rPr>
        <w:t>SUMÁRIO</w:t>
      </w: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</w:rPr>
        <w:id w:val="-174595355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C2060" w:rsidRPr="0082394C" w:rsidRDefault="004C2060" w:rsidP="0082394C">
          <w:pPr>
            <w:pStyle w:val="CabealhodoSumrio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  <w:p w:rsidR="00971F7E" w:rsidRPr="00971F7E" w:rsidRDefault="004C206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r w:rsidRPr="00971F7E">
            <w:rPr>
              <w:rFonts w:cstheme="minorHAnsi"/>
            </w:rPr>
            <w:fldChar w:fldCharType="begin"/>
          </w:r>
          <w:r w:rsidRPr="00971F7E">
            <w:rPr>
              <w:rFonts w:cstheme="minorHAnsi"/>
            </w:rPr>
            <w:instrText xml:space="preserve"> TOC \o "1-3" \h \z \u </w:instrText>
          </w:r>
          <w:r w:rsidRPr="00971F7E">
            <w:rPr>
              <w:rFonts w:cstheme="minorHAnsi"/>
            </w:rPr>
            <w:fldChar w:fldCharType="separate"/>
          </w:r>
          <w:hyperlink w:anchor="_Toc492826303" w:history="1">
            <w:r w:rsidR="00971F7E" w:rsidRPr="00971F7E">
              <w:rPr>
                <w:rStyle w:val="Hyperlink"/>
                <w:noProof/>
              </w:rPr>
              <w:t>1.</w:t>
            </w:r>
            <w:r w:rsidR="00971F7E" w:rsidRPr="00971F7E">
              <w:rPr>
                <w:rFonts w:eastAsiaTheme="minorEastAsia"/>
                <w:noProof/>
                <w:lang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Objetivo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_Toc492826303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- 2 -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6304" w:history="1">
            <w:r w:rsidR="00971F7E" w:rsidRPr="00971F7E">
              <w:rPr>
                <w:rStyle w:val="Hyperlink"/>
                <w:noProof/>
              </w:rPr>
              <w:t>2.</w:t>
            </w:r>
            <w:r w:rsidR="00971F7E" w:rsidRPr="00971F7E">
              <w:rPr>
                <w:rFonts w:eastAsiaTheme="minorEastAsia"/>
                <w:noProof/>
                <w:lang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Aplicação e Abrangência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_Toc492826304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- 2 -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6305" w:history="1">
            <w:r w:rsidR="00971F7E" w:rsidRPr="00971F7E">
              <w:rPr>
                <w:rStyle w:val="Hyperlink"/>
                <w:noProof/>
              </w:rPr>
              <w:t>3.</w:t>
            </w:r>
            <w:r w:rsidR="00971F7E" w:rsidRPr="00971F7E">
              <w:rPr>
                <w:rFonts w:eastAsiaTheme="minorEastAsia"/>
                <w:noProof/>
                <w:lang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Documentos de Referência e Complementares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_Toc492826305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- 2 -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6306" w:history="1">
            <w:r w:rsidR="00971F7E" w:rsidRPr="00971F7E">
              <w:rPr>
                <w:rStyle w:val="Hyperlink"/>
                <w:noProof/>
              </w:rPr>
              <w:t>4.</w:t>
            </w:r>
            <w:r w:rsidR="00971F7E" w:rsidRPr="00971F7E">
              <w:rPr>
                <w:rFonts w:eastAsiaTheme="minorEastAsia"/>
                <w:noProof/>
                <w:lang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Definições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_Toc492826306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- 3 -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6307" w:history="1">
            <w:r w:rsidR="00971F7E" w:rsidRPr="00971F7E">
              <w:rPr>
                <w:rStyle w:val="Hyperlink"/>
                <w:noProof/>
              </w:rPr>
              <w:t>5.</w:t>
            </w:r>
            <w:r w:rsidR="00971F7E" w:rsidRPr="00971F7E">
              <w:rPr>
                <w:rFonts w:eastAsiaTheme="minorEastAsia"/>
                <w:noProof/>
                <w:lang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Autoridade e Competências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_Toc492826307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- 3 -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6308" w:history="1">
            <w:r w:rsidR="00971F7E" w:rsidRPr="00971F7E">
              <w:rPr>
                <w:rStyle w:val="Hyperlink"/>
                <w:noProof/>
              </w:rPr>
              <w:t>6.</w:t>
            </w:r>
            <w:r w:rsidR="00971F7E" w:rsidRPr="00971F7E">
              <w:rPr>
                <w:rFonts w:eastAsiaTheme="minorEastAsia"/>
                <w:noProof/>
                <w:lang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Descrição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_Toc492826308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- 4 -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6309" w:history="1">
            <w:r w:rsidR="00971F7E" w:rsidRPr="00971F7E">
              <w:rPr>
                <w:rStyle w:val="Hyperlink"/>
                <w:noProof/>
              </w:rPr>
              <w:t>6.1.</w:t>
            </w:r>
            <w:r w:rsidR="00971F7E" w:rsidRPr="00971F7E">
              <w:rPr>
                <w:rFonts w:cstheme="minorBidi"/>
                <w:noProof/>
                <w:lang w:val="pt-BR"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Descrição Geral do Processo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_Toc492826309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- 4 -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6310" w:history="1">
            <w:r w:rsidR="00971F7E" w:rsidRPr="00971F7E">
              <w:rPr>
                <w:rStyle w:val="Hyperlink"/>
                <w:noProof/>
              </w:rPr>
              <w:t>6.2.</w:t>
            </w:r>
            <w:r w:rsidR="00971F7E" w:rsidRPr="00971F7E">
              <w:rPr>
                <w:rFonts w:cstheme="minorBidi"/>
                <w:noProof/>
                <w:lang w:val="pt-BR"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Validações e Cálculos do SGPP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_Toc492826310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- 5 -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6311" w:history="1">
            <w:r w:rsidR="00971F7E" w:rsidRPr="00971F7E">
              <w:rPr>
                <w:rStyle w:val="Hyperlink"/>
                <w:noProof/>
              </w:rPr>
              <w:t>6.3.</w:t>
            </w:r>
            <w:r w:rsidR="00971F7E" w:rsidRPr="00971F7E">
              <w:rPr>
                <w:rFonts w:cstheme="minorBidi"/>
                <w:noProof/>
                <w:lang w:val="pt-BR"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Procedimento de Monitoramento da Produção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_Toc492826311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- 5 -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6312" w:history="1">
            <w:r w:rsidR="00971F7E" w:rsidRPr="00971F7E">
              <w:rPr>
                <w:rStyle w:val="Hyperlink"/>
                <w:noProof/>
              </w:rPr>
              <w:t>6.4.</w:t>
            </w:r>
            <w:r w:rsidR="00971F7E" w:rsidRPr="00971F7E">
              <w:rPr>
                <w:rFonts w:cstheme="minorBidi"/>
                <w:noProof/>
                <w:lang w:val="pt-BR"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Monitoramento do Processo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_Toc492826312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- 11 -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6313" w:history="1">
            <w:r w:rsidR="00971F7E" w:rsidRPr="00971F7E">
              <w:rPr>
                <w:rStyle w:val="Hyperlink"/>
                <w:noProof/>
              </w:rPr>
              <w:t>6.5.</w:t>
            </w:r>
            <w:r w:rsidR="00971F7E" w:rsidRPr="00971F7E">
              <w:rPr>
                <w:rFonts w:cstheme="minorBidi"/>
                <w:noProof/>
                <w:lang w:val="pt-BR"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Prazos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_Toc492826313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- 12 -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6314" w:history="1">
            <w:r w:rsidR="00971F7E" w:rsidRPr="00971F7E">
              <w:rPr>
                <w:rStyle w:val="Hyperlink"/>
                <w:noProof/>
              </w:rPr>
              <w:t>7.</w:t>
            </w:r>
            <w:r w:rsidR="00971F7E" w:rsidRPr="00971F7E">
              <w:rPr>
                <w:rFonts w:eastAsiaTheme="minorEastAsia"/>
                <w:noProof/>
                <w:lang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Índice de Revisões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_Toc492826314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- 13 -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826315" w:history="1">
            <w:r w:rsidR="00971F7E" w:rsidRPr="00971F7E">
              <w:rPr>
                <w:rStyle w:val="Hyperlink"/>
                <w:noProof/>
              </w:rPr>
              <w:t>8.</w:t>
            </w:r>
            <w:r w:rsidR="00971F7E" w:rsidRPr="00971F7E">
              <w:rPr>
                <w:rFonts w:eastAsiaTheme="minorEastAsia"/>
                <w:noProof/>
                <w:lang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Anexos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_Toc492826315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- 14 -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6316" w:history="1">
            <w:r w:rsidR="00971F7E" w:rsidRPr="00971F7E">
              <w:rPr>
                <w:rStyle w:val="Hyperlink"/>
                <w:noProof/>
              </w:rPr>
              <w:t>8.1.</w:t>
            </w:r>
            <w:r w:rsidR="00971F7E" w:rsidRPr="00971F7E">
              <w:rPr>
                <w:rFonts w:cstheme="minorBidi"/>
                <w:noProof/>
                <w:lang w:val="pt-BR"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Anexo I - Padrão de Processo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_Toc492826316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- 14 -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6317" w:history="1">
            <w:r w:rsidR="00971F7E" w:rsidRPr="00971F7E">
              <w:rPr>
                <w:rStyle w:val="Hyperlink"/>
                <w:noProof/>
              </w:rPr>
              <w:t>8.2.</w:t>
            </w:r>
            <w:r w:rsidR="00971F7E" w:rsidRPr="00971F7E">
              <w:rPr>
                <w:rFonts w:cstheme="minorBidi"/>
                <w:noProof/>
                <w:lang w:val="pt-BR"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Anexo II - Matriz de Papéis e Responsabilidades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_Toc492826317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- 15 -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6318" w:history="1">
            <w:r w:rsidR="00971F7E" w:rsidRPr="00971F7E">
              <w:rPr>
                <w:rStyle w:val="Hyperlink"/>
                <w:noProof/>
              </w:rPr>
              <w:t>8.3.</w:t>
            </w:r>
            <w:r w:rsidR="00971F7E" w:rsidRPr="00971F7E">
              <w:rPr>
                <w:rFonts w:cstheme="minorBidi"/>
                <w:noProof/>
                <w:lang w:val="pt-BR"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Anexo III - Indicadores de Performance do Processo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_Toc492826318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- 16 -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971F7E" w:rsidRPr="00971F7E" w:rsidRDefault="00095EF5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826319" w:history="1">
            <w:r w:rsidR="00971F7E" w:rsidRPr="00971F7E">
              <w:rPr>
                <w:rStyle w:val="Hyperlink"/>
                <w:noProof/>
              </w:rPr>
              <w:t>8.4.</w:t>
            </w:r>
            <w:r w:rsidR="00971F7E" w:rsidRPr="00971F7E">
              <w:rPr>
                <w:rFonts w:cstheme="minorBidi"/>
                <w:noProof/>
                <w:lang w:val="pt-BR" w:eastAsia="pt-BR"/>
              </w:rPr>
              <w:tab/>
            </w:r>
            <w:r w:rsidR="00971F7E" w:rsidRPr="00971F7E">
              <w:rPr>
                <w:rStyle w:val="Hyperlink"/>
                <w:noProof/>
              </w:rPr>
              <w:t>Anexo IV - Mapa de Interface dos Processos</w:t>
            </w:r>
            <w:r w:rsidR="00971F7E" w:rsidRPr="00971F7E">
              <w:rPr>
                <w:noProof/>
                <w:webHidden/>
              </w:rPr>
              <w:tab/>
            </w:r>
            <w:r w:rsidR="00971F7E" w:rsidRPr="00971F7E">
              <w:rPr>
                <w:noProof/>
                <w:webHidden/>
              </w:rPr>
              <w:fldChar w:fldCharType="begin"/>
            </w:r>
            <w:r w:rsidR="00971F7E" w:rsidRPr="00971F7E">
              <w:rPr>
                <w:noProof/>
                <w:webHidden/>
              </w:rPr>
              <w:instrText xml:space="preserve"> PAGEREF _Toc492826319 \h </w:instrText>
            </w:r>
            <w:r w:rsidR="00971F7E" w:rsidRPr="00971F7E">
              <w:rPr>
                <w:noProof/>
                <w:webHidden/>
              </w:rPr>
            </w:r>
            <w:r w:rsidR="00971F7E" w:rsidRPr="00971F7E">
              <w:rPr>
                <w:noProof/>
                <w:webHidden/>
              </w:rPr>
              <w:fldChar w:fldCharType="separate"/>
            </w:r>
            <w:r w:rsidR="00971F7E" w:rsidRPr="00971F7E">
              <w:rPr>
                <w:noProof/>
                <w:webHidden/>
              </w:rPr>
              <w:t>- 17 -</w:t>
            </w:r>
            <w:r w:rsidR="00971F7E" w:rsidRPr="00971F7E">
              <w:rPr>
                <w:noProof/>
                <w:webHidden/>
              </w:rPr>
              <w:fldChar w:fldCharType="end"/>
            </w:r>
          </w:hyperlink>
        </w:p>
        <w:p w:rsidR="004C2060" w:rsidRPr="0082394C" w:rsidRDefault="004C2060" w:rsidP="00042F73">
          <w:pPr>
            <w:jc w:val="center"/>
            <w:rPr>
              <w:rFonts w:asciiTheme="minorHAnsi" w:hAnsiTheme="minorHAnsi" w:cstheme="minorHAnsi"/>
              <w:b/>
              <w:bCs/>
              <w:noProof/>
              <w:sz w:val="22"/>
              <w:szCs w:val="22"/>
            </w:rPr>
          </w:pPr>
          <w:r w:rsidRPr="00971F7E">
            <w:rPr>
              <w:rFonts w:asciiTheme="minorHAnsi" w:hAnsiTheme="minorHAnsi" w:cstheme="minorHAnsi"/>
              <w:bCs/>
              <w:noProof/>
              <w:sz w:val="22"/>
              <w:szCs w:val="22"/>
            </w:rPr>
            <w:fldChar w:fldCharType="end"/>
          </w:r>
        </w:p>
      </w:sdtContent>
    </w:sdt>
    <w:p w:rsidR="00235BA2" w:rsidRPr="0082394C" w:rsidRDefault="00235BA2" w:rsidP="004C2060">
      <w:pPr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en-US"/>
        </w:rPr>
        <w:br w:type="page"/>
      </w:r>
    </w:p>
    <w:p w:rsidR="00235BA2" w:rsidRPr="0082394C" w:rsidRDefault="00235BA2" w:rsidP="007254CF">
      <w:pPr>
        <w:pStyle w:val="Style1"/>
        <w:rPr>
          <w:b/>
          <w:sz w:val="22"/>
          <w:szCs w:val="22"/>
        </w:rPr>
      </w:pPr>
      <w:bookmarkStart w:id="0" w:name="_Ref444761209"/>
      <w:bookmarkStart w:id="1" w:name="_Ref444761211"/>
      <w:bookmarkStart w:id="2" w:name="_Ref444761212"/>
      <w:bookmarkStart w:id="3" w:name="_Toc483821334"/>
      <w:bookmarkStart w:id="4" w:name="_Toc492826303"/>
      <w:r w:rsidRPr="0082394C">
        <w:rPr>
          <w:b/>
          <w:sz w:val="22"/>
          <w:szCs w:val="22"/>
        </w:rPr>
        <w:lastRenderedPageBreak/>
        <w:t>Objetivo</w:t>
      </w:r>
      <w:bookmarkEnd w:id="0"/>
      <w:bookmarkEnd w:id="1"/>
      <w:bookmarkEnd w:id="2"/>
      <w:bookmarkEnd w:id="3"/>
      <w:bookmarkEnd w:id="4"/>
    </w:p>
    <w:p w:rsidR="00EC67F7" w:rsidRPr="0082394C" w:rsidRDefault="00EC67F7" w:rsidP="00EC67F7">
      <w:pPr>
        <w:pStyle w:val="Corpodetexto"/>
        <w:kinsoku w:val="0"/>
        <w:overflowPunct w:val="0"/>
        <w:spacing w:line="360" w:lineRule="auto"/>
        <w:ind w:left="278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O objetivo deste procedimento é detalhar a execução das etapas do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subprocesso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de Monitoramento da Produção de Óleo e Gás Natural, que consiste na fase inicial do Processo de Acompanhamento e Controle da Produção, realizado pela </w:t>
      </w:r>
      <w:r w:rsidR="0082394C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S.A. em Projetos de Exploração e Produção (E&amp;P) submarinos em águas profundas localizados no Polígono do Pré-sal.</w:t>
      </w:r>
    </w:p>
    <w:p w:rsidR="00EC67F7" w:rsidRPr="0082394C" w:rsidRDefault="00EC67F7" w:rsidP="00EC67F7">
      <w:pPr>
        <w:pStyle w:val="Corpodetexto"/>
        <w:kinsoku w:val="0"/>
        <w:overflowPunct w:val="0"/>
        <w:spacing w:line="360" w:lineRule="auto"/>
        <w:ind w:left="278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O detalhamento neste procedimento, visa possibilitar que a execução do mesmo pela área técnica responsável seja feita em conformidade com os requisitos e métricas estabelecidos pelos Contratos dos Projetos, pela Governança da </w:t>
      </w:r>
      <w:r w:rsidR="009460EA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, pelas legislações aplicáveis e pelas diretrizes das Agências Reguladoras e demais Autarquias afins.</w:t>
      </w:r>
    </w:p>
    <w:p w:rsidR="00235BA2" w:rsidRPr="0082394C" w:rsidRDefault="00235BA2" w:rsidP="007254CF">
      <w:pPr>
        <w:pStyle w:val="Style1"/>
        <w:rPr>
          <w:b/>
          <w:sz w:val="22"/>
          <w:szCs w:val="22"/>
        </w:rPr>
      </w:pPr>
      <w:bookmarkStart w:id="5" w:name="_Toc492826304"/>
      <w:r w:rsidRPr="0082394C">
        <w:rPr>
          <w:b/>
          <w:sz w:val="22"/>
          <w:szCs w:val="22"/>
        </w:rPr>
        <w:t xml:space="preserve">Aplicação e </w:t>
      </w:r>
      <w:r w:rsidR="004C2060" w:rsidRPr="0082394C">
        <w:rPr>
          <w:b/>
          <w:sz w:val="22"/>
          <w:szCs w:val="22"/>
        </w:rPr>
        <w:t>Abrangência</w:t>
      </w:r>
      <w:bookmarkEnd w:id="5"/>
    </w:p>
    <w:p w:rsidR="00EC67F7" w:rsidRPr="0082394C" w:rsidRDefault="00EC67F7" w:rsidP="00235BA2">
      <w:pPr>
        <w:pStyle w:val="Corpodetexto"/>
        <w:kinsoku w:val="0"/>
        <w:overflowPunct w:val="0"/>
        <w:spacing w:line="360" w:lineRule="auto"/>
        <w:ind w:left="357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Este procedimento se aplica ao Monitoramento da Produção de Óleo e Gás Natural em todos os Contratos de Partilha da Produção (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CPPs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) e Acordos de Individualização da Produção (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AIPs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), nos quais a </w:t>
      </w:r>
      <w:r w:rsidR="009460EA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é Gestora ou Sócia não operadora, seja por obrigação contratual ou seja pela obrigação legal de representar a União nos Contratos e Acordos dos Projetos de E&amp;P no Pré-sal, alcançando assim, em todos os empreendimentos de E&amp;P no Pré-sal onde a União possuir direito de participação na produção com vistas à sua comercialização.</w:t>
      </w:r>
    </w:p>
    <w:p w:rsidR="0027071E" w:rsidRPr="0082394C" w:rsidRDefault="0027071E" w:rsidP="007254CF">
      <w:pPr>
        <w:pStyle w:val="Style1"/>
        <w:rPr>
          <w:b/>
          <w:sz w:val="22"/>
          <w:szCs w:val="22"/>
        </w:rPr>
      </w:pPr>
      <w:bookmarkStart w:id="6" w:name="_Toc492826305"/>
      <w:r w:rsidRPr="0082394C">
        <w:rPr>
          <w:b/>
          <w:sz w:val="22"/>
          <w:szCs w:val="22"/>
        </w:rPr>
        <w:t>Documentos de Referência e Complementares</w:t>
      </w:r>
      <w:bookmarkEnd w:id="6"/>
    </w:p>
    <w:p w:rsidR="00272007" w:rsidRPr="0082394C" w:rsidRDefault="0082394C" w:rsidP="0082394C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171D14">
        <w:rPr>
          <w:rFonts w:asciiTheme="minorHAnsi" w:hAnsiTheme="minorHAnsi" w:cstheme="minorHAnsi"/>
          <w:bCs w:val="0"/>
          <w:i w:val="0"/>
          <w:iCs w:val="0"/>
          <w:szCs w:val="22"/>
        </w:rPr>
        <w:t>Procedimento de Governança da Pré-Sal Petróleo para Contratos de Partilha da Produção (PG.DGC.001)</w:t>
      </w:r>
    </w:p>
    <w:p w:rsidR="00272007" w:rsidRDefault="00272007" w:rsidP="0082394C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Sugestão de Modelo de Governança proposto pela KPMG</w:t>
      </w:r>
    </w:p>
    <w:p w:rsidR="0082394C" w:rsidRPr="0082394C" w:rsidRDefault="0082394C" w:rsidP="0082394C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Contratos de Partilha de Produção em vigor</w:t>
      </w:r>
    </w:p>
    <w:p w:rsidR="0082394C" w:rsidRPr="0082394C" w:rsidRDefault="0082394C" w:rsidP="0082394C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Acordos de Individualização da Produção (assinados) e seus Anexos</w:t>
      </w:r>
    </w:p>
    <w:p w:rsidR="0082394C" w:rsidRPr="0082394C" w:rsidRDefault="0082394C" w:rsidP="0082394C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Política dos Acordos de Individualização da Produção do Petróleo e do Gás Natural da União (Resolução CNPE)</w:t>
      </w:r>
    </w:p>
    <w:p w:rsidR="0082394C" w:rsidRPr="0082394C" w:rsidRDefault="0082394C" w:rsidP="0082394C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Lei nº 12.351, de 22 de dezembro de 2010</w:t>
      </w:r>
    </w:p>
    <w:p w:rsidR="0082394C" w:rsidRPr="0082394C" w:rsidRDefault="0082394C" w:rsidP="0082394C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Decreto nº 8.063, de 01 de agosto de 2013</w:t>
      </w:r>
    </w:p>
    <w:p w:rsidR="0082394C" w:rsidRPr="0082394C" w:rsidRDefault="0082394C" w:rsidP="0082394C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Decreto nº 2.705, de 03 de agosto de 1998</w:t>
      </w:r>
    </w:p>
    <w:p w:rsidR="0082394C" w:rsidRPr="0082394C" w:rsidRDefault="0082394C" w:rsidP="0082394C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Lei nº 9.478, de 06 de agosto de 1997</w:t>
      </w:r>
    </w:p>
    <w:p w:rsidR="0027071E" w:rsidRPr="0082394C" w:rsidRDefault="0027071E" w:rsidP="007254CF">
      <w:pPr>
        <w:pStyle w:val="Style1"/>
        <w:rPr>
          <w:b/>
          <w:sz w:val="22"/>
          <w:szCs w:val="22"/>
        </w:rPr>
      </w:pPr>
      <w:bookmarkStart w:id="7" w:name="_Toc492826306"/>
      <w:r w:rsidRPr="0082394C">
        <w:rPr>
          <w:b/>
          <w:sz w:val="22"/>
          <w:szCs w:val="22"/>
        </w:rPr>
        <w:lastRenderedPageBreak/>
        <w:t>Definições</w:t>
      </w:r>
      <w:bookmarkEnd w:id="7"/>
    </w:p>
    <w:tbl>
      <w:tblPr>
        <w:tblW w:w="9365" w:type="dxa"/>
        <w:tblInd w:w="3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4"/>
        <w:gridCol w:w="7921"/>
      </w:tblGrid>
      <w:tr w:rsidR="0027071E" w:rsidRPr="0082394C" w:rsidTr="00CE6C54">
        <w:trPr>
          <w:cantSplit/>
          <w:trHeight w:val="57"/>
          <w:tblHeader/>
        </w:trPr>
        <w:tc>
          <w:tcPr>
            <w:tcW w:w="1444" w:type="dxa"/>
            <w:shd w:val="clear" w:color="auto" w:fill="808080" w:themeFill="background1" w:themeFillShade="80"/>
          </w:tcPr>
          <w:p w:rsidR="0027071E" w:rsidRPr="0082394C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Sigla</w:t>
            </w:r>
          </w:p>
        </w:tc>
        <w:tc>
          <w:tcPr>
            <w:tcW w:w="7921" w:type="dxa"/>
            <w:shd w:val="clear" w:color="auto" w:fill="808080" w:themeFill="background1" w:themeFillShade="80"/>
          </w:tcPr>
          <w:p w:rsidR="0027071E" w:rsidRPr="0082394C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Descrição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AIP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Acordo de Individualização da Produção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ANP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Agência Nacional do Petróleo, Gás Natural e Biocombustíveis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CACP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Coordenação de Acompanhamento e Controle da Produção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CNPE</w:t>
            </w:r>
          </w:p>
        </w:tc>
        <w:tc>
          <w:tcPr>
            <w:tcW w:w="7921" w:type="dxa"/>
            <w:tcBorders>
              <w:bottom w:val="single" w:sz="6" w:space="0" w:color="auto"/>
            </w:tcBorders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Conselho Nacional de Política Energética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CPP</w:t>
            </w:r>
          </w:p>
        </w:tc>
        <w:tc>
          <w:tcPr>
            <w:tcW w:w="7921" w:type="dxa"/>
            <w:tcBorders>
              <w:bottom w:val="single" w:sz="6" w:space="0" w:color="auto"/>
            </w:tcBorders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Contrato de Partilha da Produção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</w:p>
        </w:tc>
        <w:tc>
          <w:tcPr>
            <w:tcW w:w="7921" w:type="dxa"/>
            <w:tcBorders>
              <w:bottom w:val="single" w:sz="6" w:space="0" w:color="auto"/>
            </w:tcBorders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Diretoria Executiva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DTF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Diretoria Técnica e de Fiscalização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E&amp;P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Exploração e Produção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EPE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Empresa de Pesquisa Energética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GE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Gerência Executiva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HSE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 xml:space="preserve">Health, </w:t>
            </w:r>
            <w:proofErr w:type="spellStart"/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Safety</w:t>
            </w:r>
            <w:proofErr w:type="spellEnd"/>
            <w:r w:rsidRPr="0082394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8239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Environment</w:t>
            </w:r>
            <w:proofErr w:type="spellEnd"/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MME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Ministério de Minas e Energia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PAPs</w:t>
            </w:r>
            <w:proofErr w:type="spellEnd"/>
            <w:r w:rsidRPr="008239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Planos Anuais de Produção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PDs</w:t>
            </w:r>
            <w:proofErr w:type="spellEnd"/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Planos de Desenvolvimento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RFB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Receita Federal do Brasil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SDP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Superintendência de Desenvolvimento e Produção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SEFAZ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Secretaria de Estado de Fazenda e Planejamento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9460EA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SGPP</w:t>
            </w:r>
          </w:p>
        </w:tc>
        <w:tc>
          <w:tcPr>
            <w:tcW w:w="7921" w:type="dxa"/>
          </w:tcPr>
          <w:p w:rsidR="00EC67F7" w:rsidRPr="0082394C" w:rsidRDefault="0082394C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Sistema de Gestão de Gastos de Partilha de Produção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A54198" w:rsidP="00A5419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SRE</w:t>
            </w:r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Superintendência de Reservatórios</w:t>
            </w:r>
          </w:p>
        </w:tc>
      </w:tr>
      <w:tr w:rsidR="00EC67F7" w:rsidRPr="0082394C" w:rsidTr="00333B27">
        <w:trPr>
          <w:trHeight w:val="57"/>
        </w:trPr>
        <w:tc>
          <w:tcPr>
            <w:tcW w:w="1444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UEPs</w:t>
            </w:r>
            <w:proofErr w:type="spellEnd"/>
          </w:p>
        </w:tc>
        <w:tc>
          <w:tcPr>
            <w:tcW w:w="7921" w:type="dxa"/>
          </w:tcPr>
          <w:p w:rsidR="00EC67F7" w:rsidRPr="0082394C" w:rsidRDefault="00EC67F7" w:rsidP="00EC67F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sz w:val="22"/>
                <w:szCs w:val="22"/>
              </w:rPr>
              <w:t>Unidades Estacionárias de Produção</w:t>
            </w:r>
          </w:p>
        </w:tc>
      </w:tr>
    </w:tbl>
    <w:p w:rsidR="0041483F" w:rsidRPr="0082394C" w:rsidRDefault="0041483F" w:rsidP="0041483F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>AIP: Acordo de Individualização da Produção, acordo celebrado entre os detentores de direitos de Exploração e Produção, após a Declaração de Comercialidade, para o Desenvolvimento e Produção unificados de Jazidas que se estendam além da Área do Contrato, conforme previsto na Lei n.º 12.351/2010 e na Legislação Aplicável.</w:t>
      </w:r>
    </w:p>
    <w:p w:rsidR="0041483F" w:rsidRPr="0082394C" w:rsidRDefault="0041483F" w:rsidP="0041483F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>CPP: Contrato de Partilha da Produção, onde a propriedade do recurso permanece sob o poder do Estado e a empresa operadora é contratada para explorar e produzir petróleo e gás natural, tendo como retorno uma parcela da produção.</w:t>
      </w:r>
    </w:p>
    <w:p w:rsidR="0000756A" w:rsidRPr="0082394C" w:rsidRDefault="009460EA" w:rsidP="0041483F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>SGPP</w:t>
      </w:r>
      <w:r w:rsidR="0041483F" w:rsidRPr="0082394C">
        <w:rPr>
          <w:rFonts w:eastAsia="Times New Roman" w:cstheme="minorHAnsi"/>
          <w:lang w:eastAsia="pt-BR"/>
        </w:rPr>
        <w:t xml:space="preserve">: </w:t>
      </w:r>
      <w:r w:rsidR="0082394C" w:rsidRPr="0082394C">
        <w:rPr>
          <w:rFonts w:eastAsia="Times New Roman" w:cstheme="minorHAnsi"/>
          <w:lang w:eastAsia="pt-BR"/>
        </w:rPr>
        <w:t>Sistema de Gestão de Gastos de Partilha de Produção</w:t>
      </w:r>
      <w:r w:rsidR="0041483F" w:rsidRPr="0082394C">
        <w:rPr>
          <w:rFonts w:eastAsia="Times New Roman" w:cstheme="minorHAnsi"/>
          <w:lang w:eastAsia="pt-BR"/>
        </w:rPr>
        <w:t xml:space="preserve"> planejado para atender ao gerenciamento dos contratos de partilha e de comercialização de petróleo e gás natural.</w:t>
      </w:r>
    </w:p>
    <w:p w:rsidR="007254CF" w:rsidRPr="0082394C" w:rsidRDefault="00235BA2" w:rsidP="007254CF">
      <w:pPr>
        <w:pStyle w:val="Style1"/>
        <w:rPr>
          <w:b/>
          <w:sz w:val="22"/>
          <w:szCs w:val="22"/>
        </w:rPr>
      </w:pPr>
      <w:bookmarkStart w:id="8" w:name="_Toc492826307"/>
      <w:r w:rsidRPr="0082394C">
        <w:rPr>
          <w:b/>
          <w:sz w:val="22"/>
          <w:szCs w:val="22"/>
        </w:rPr>
        <w:t>A</w:t>
      </w:r>
      <w:r w:rsidR="0027071E" w:rsidRPr="0082394C">
        <w:rPr>
          <w:b/>
          <w:sz w:val="22"/>
          <w:szCs w:val="22"/>
        </w:rPr>
        <w:t>utoridade e Competência</w:t>
      </w:r>
      <w:r w:rsidR="0082394C">
        <w:rPr>
          <w:b/>
          <w:sz w:val="22"/>
          <w:szCs w:val="22"/>
        </w:rPr>
        <w:t>s</w:t>
      </w:r>
      <w:bookmarkEnd w:id="8"/>
    </w:p>
    <w:p w:rsidR="007254CF" w:rsidRPr="0082394C" w:rsidRDefault="0027071E" w:rsidP="0082394C">
      <w:pPr>
        <w:pStyle w:val="Body"/>
        <w:numPr>
          <w:ilvl w:val="1"/>
          <w:numId w:val="2"/>
        </w:numPr>
        <w:rPr>
          <w:b/>
        </w:rPr>
      </w:pPr>
      <w:r w:rsidRPr="0082394C">
        <w:rPr>
          <w:b/>
        </w:rPr>
        <w:t>A</w:t>
      </w:r>
      <w:r w:rsidR="00235BA2" w:rsidRPr="0082394C">
        <w:rPr>
          <w:b/>
        </w:rPr>
        <w:t>provação e Atualização</w:t>
      </w:r>
    </w:p>
    <w:p w:rsidR="0041483F" w:rsidRPr="0082394C" w:rsidRDefault="0041483F" w:rsidP="0082394C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A versão inicial e as revisões deste documento devem ser aprovadas conforme a Estrutura de Comitês de Governança prevista no Modelo de Governança dos Processos. As revisões no </w:t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lastRenderedPageBreak/>
        <w:t xml:space="preserve">procedimento e no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macrofluxo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do processo deverão ser realizadas simultaneamente e de acordo com o ciclo de revisões previsto pelo Plano de Revisão dos Processos, visando incorporar modificações e melhorias advindas da implantação de novos sistemas, do atendimento à novas políticas e diretrizes da empresa, além da adequação às eventuais mudanças na legislação (decretos, resoluções, instruções normativas,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etc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) por Agências Reguladoras e Autarquias da União relacionadas ao setor de Energia e Tributação (ANP, MME, EPE, CNPE, RFB, SEFAZ,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etc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).</w:t>
      </w:r>
    </w:p>
    <w:p w:rsidR="00235BA2" w:rsidRPr="0082394C" w:rsidRDefault="00235BA2" w:rsidP="0082394C">
      <w:pPr>
        <w:pStyle w:val="Body"/>
        <w:numPr>
          <w:ilvl w:val="1"/>
          <w:numId w:val="2"/>
        </w:numPr>
        <w:rPr>
          <w:b/>
        </w:rPr>
      </w:pPr>
      <w:r w:rsidRPr="0082394C">
        <w:rPr>
          <w:b/>
        </w:rPr>
        <w:t>Responsáveis pela Execução</w:t>
      </w:r>
    </w:p>
    <w:p w:rsidR="00C96D47" w:rsidRPr="0082394C" w:rsidRDefault="0041483F" w:rsidP="0082394C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Colaboradores da </w:t>
      </w:r>
      <w:r w:rsidR="009460EA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subordinados à Superintendência de Desenvolvimento da Produção (SDP), que respondem à Diretoria Técnica e de Fiscalização (DTF), designados para atuar nas atividades prescritas no item </w:t>
      </w:r>
      <w:r w:rsidR="00B466FE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fldChar w:fldCharType="begin"/>
      </w:r>
      <w:r w:rsidR="00B466FE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instrText xml:space="preserve"> REF _Ref487723968 \r \h </w:instrText>
      </w:r>
      <w:r w:rsidR="006564D3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instrText xml:space="preserve"> \* MERGEFORMAT </w:instrText>
      </w:r>
      <w:r w:rsidR="00B466FE" w:rsidRPr="0082394C">
        <w:rPr>
          <w:rFonts w:asciiTheme="minorHAnsi" w:hAnsiTheme="minorHAnsi" w:cstheme="minorHAnsi"/>
          <w:bCs w:val="0"/>
          <w:i w:val="0"/>
          <w:iCs w:val="0"/>
          <w:szCs w:val="22"/>
        </w:rPr>
      </w:r>
      <w:r w:rsidR="00B466FE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fldChar w:fldCharType="separate"/>
      </w:r>
      <w:r w:rsidR="00B466FE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6.1</w:t>
      </w:r>
      <w:r w:rsidR="00B466FE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fldChar w:fldCharType="end"/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deste procedimento, assim como também para identificar não conformidades, propor e implementar ações corretivas e preventivas e identificar oportunidades de melhoria, de acordo com as atribuições, papéis e responsabilidades desse processo, detalhados ao final deste documento no Anexo II.</w:t>
      </w:r>
    </w:p>
    <w:p w:rsidR="0027071E" w:rsidRPr="0082394C" w:rsidRDefault="00235BA2" w:rsidP="007254CF">
      <w:pPr>
        <w:pStyle w:val="Style1"/>
        <w:rPr>
          <w:b/>
          <w:sz w:val="22"/>
          <w:szCs w:val="22"/>
        </w:rPr>
      </w:pPr>
      <w:bookmarkStart w:id="9" w:name="_Toc492826308"/>
      <w:r w:rsidRPr="0082394C">
        <w:rPr>
          <w:b/>
          <w:sz w:val="22"/>
          <w:szCs w:val="22"/>
        </w:rPr>
        <w:t>Descrição</w:t>
      </w:r>
      <w:bookmarkEnd w:id="9"/>
    </w:p>
    <w:p w:rsidR="00255FA8" w:rsidRPr="0082394C" w:rsidRDefault="00255FA8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0" w:name="_Ref487723968"/>
      <w:bookmarkStart w:id="11" w:name="_Toc492826309"/>
      <w:r w:rsidRPr="0082394C">
        <w:rPr>
          <w:b/>
          <w:sz w:val="22"/>
          <w:szCs w:val="22"/>
        </w:rPr>
        <w:t>Descrição Geral do Processo</w:t>
      </w:r>
      <w:bookmarkEnd w:id="10"/>
      <w:bookmarkEnd w:id="11"/>
    </w:p>
    <w:p w:rsidR="0041483F" w:rsidRPr="0082394C" w:rsidRDefault="0041483F" w:rsidP="0041483F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ab/>
        <w:t>O processo de Monitoramento da Produção é de atribuição da Coordenação de Acompanhamento e Controle da Produção (CACP) e serve como insumo para o processo do Cálculo dos Excedentes e Parcelas da Produção.</w:t>
      </w:r>
    </w:p>
    <w:p w:rsidR="007D2767" w:rsidRPr="0082394C" w:rsidRDefault="0041483F" w:rsidP="0041483F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ab/>
        <w:t xml:space="preserve">Os insumos do processo são provenientes dos Operadores dos </w:t>
      </w:r>
      <w:proofErr w:type="spellStart"/>
      <w:r w:rsidRPr="0082394C">
        <w:rPr>
          <w:rFonts w:eastAsia="Times New Roman" w:cstheme="minorHAnsi"/>
          <w:lang w:eastAsia="pt-BR"/>
        </w:rPr>
        <w:t>CPPs</w:t>
      </w:r>
      <w:proofErr w:type="spellEnd"/>
      <w:r w:rsidRPr="0082394C">
        <w:rPr>
          <w:rFonts w:eastAsia="Times New Roman" w:cstheme="minorHAnsi"/>
          <w:lang w:eastAsia="pt-BR"/>
        </w:rPr>
        <w:t xml:space="preserve"> e </w:t>
      </w:r>
      <w:proofErr w:type="spellStart"/>
      <w:r w:rsidRPr="0082394C">
        <w:rPr>
          <w:rFonts w:eastAsia="Times New Roman" w:cstheme="minorHAnsi"/>
          <w:lang w:eastAsia="pt-BR"/>
        </w:rPr>
        <w:t>AIPs</w:t>
      </w:r>
      <w:proofErr w:type="spellEnd"/>
      <w:r w:rsidRPr="0082394C">
        <w:rPr>
          <w:rFonts w:eastAsia="Times New Roman" w:cstheme="minorHAnsi"/>
          <w:lang w:eastAsia="pt-BR"/>
        </w:rPr>
        <w:t>, da ANP e da Superintendência de Reservatórios (SRE). Os dados recebidos são:</w:t>
      </w:r>
    </w:p>
    <w:p w:rsidR="0041483F" w:rsidRPr="0082394C" w:rsidRDefault="0041483F" w:rsidP="0041483F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>Dados da visão dos reservatórios – desempenho, vida útil, etc. (SRE);</w:t>
      </w:r>
    </w:p>
    <w:p w:rsidR="0041483F" w:rsidRPr="0082394C" w:rsidRDefault="0041483F" w:rsidP="0041483F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>Dados da produção diária - medições fiscais (ANP e Operadores);</w:t>
      </w:r>
    </w:p>
    <w:p w:rsidR="0041483F" w:rsidRPr="0082394C" w:rsidRDefault="0041483F" w:rsidP="0041483F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>Dados da produção e produtividade diária por poço e identificação dos poços produtores no mês, assim como também dos poços que não produziram no mês e suas justificativas (ANP e Operadores);</w:t>
      </w:r>
    </w:p>
    <w:p w:rsidR="0041483F" w:rsidRPr="0082394C" w:rsidRDefault="0041483F" w:rsidP="0041483F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>Dados das ocorrências de HSE, de intervenções não programadas com impacto na produção e o planejamento de intervenções (Operadores);</w:t>
      </w:r>
    </w:p>
    <w:p w:rsidR="0041483F" w:rsidRPr="0082394C" w:rsidRDefault="0041483F" w:rsidP="0041483F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 xml:space="preserve">Dados das eficiências operacionais das </w:t>
      </w:r>
      <w:proofErr w:type="spellStart"/>
      <w:r w:rsidRPr="0082394C">
        <w:rPr>
          <w:rFonts w:eastAsia="Times New Roman" w:cstheme="minorHAnsi"/>
          <w:lang w:eastAsia="pt-BR"/>
        </w:rPr>
        <w:t>UEPs</w:t>
      </w:r>
      <w:proofErr w:type="spellEnd"/>
      <w:r w:rsidRPr="0082394C">
        <w:rPr>
          <w:rFonts w:eastAsia="Times New Roman" w:cstheme="minorHAnsi"/>
          <w:lang w:eastAsia="pt-BR"/>
        </w:rPr>
        <w:t xml:space="preserve"> (Operadores); e</w:t>
      </w:r>
    </w:p>
    <w:p w:rsidR="0041483F" w:rsidRPr="0082394C" w:rsidRDefault="0041483F" w:rsidP="0041483F">
      <w:pPr>
        <w:pStyle w:val="Body"/>
        <w:numPr>
          <w:ilvl w:val="0"/>
          <w:numId w:val="3"/>
        </w:numPr>
        <w:spacing w:line="360" w:lineRule="auto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lastRenderedPageBreak/>
        <w:t>Planos Anuais de Produção (</w:t>
      </w:r>
      <w:proofErr w:type="spellStart"/>
      <w:r w:rsidRPr="0082394C">
        <w:rPr>
          <w:rFonts w:eastAsia="Times New Roman" w:cstheme="minorHAnsi"/>
          <w:lang w:eastAsia="pt-BR"/>
        </w:rPr>
        <w:t>PAPs</w:t>
      </w:r>
      <w:proofErr w:type="spellEnd"/>
      <w:r w:rsidRPr="0082394C">
        <w:rPr>
          <w:rFonts w:eastAsia="Times New Roman" w:cstheme="minorHAnsi"/>
          <w:lang w:eastAsia="pt-BR"/>
        </w:rPr>
        <w:t>) e Planos de Desenvolvimento (</w:t>
      </w:r>
      <w:proofErr w:type="spellStart"/>
      <w:r w:rsidRPr="0082394C">
        <w:rPr>
          <w:rFonts w:eastAsia="Times New Roman" w:cstheme="minorHAnsi"/>
          <w:lang w:eastAsia="pt-BR"/>
        </w:rPr>
        <w:t>PDs</w:t>
      </w:r>
      <w:proofErr w:type="spellEnd"/>
      <w:r w:rsidRPr="0082394C">
        <w:rPr>
          <w:rFonts w:eastAsia="Times New Roman" w:cstheme="minorHAnsi"/>
          <w:lang w:eastAsia="pt-BR"/>
        </w:rPr>
        <w:t>) aprovados na ANP (Operadores).</w:t>
      </w:r>
    </w:p>
    <w:p w:rsidR="0041483F" w:rsidRPr="0082394C" w:rsidRDefault="0041483F" w:rsidP="0041483F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ab/>
        <w:t xml:space="preserve">O Operador carregará seus dados no </w:t>
      </w:r>
      <w:r w:rsidR="009460EA" w:rsidRPr="0082394C">
        <w:rPr>
          <w:rFonts w:eastAsia="Times New Roman" w:cstheme="minorHAnsi"/>
          <w:lang w:eastAsia="pt-BR"/>
        </w:rPr>
        <w:t>SGPP</w:t>
      </w:r>
      <w:r w:rsidRPr="0082394C">
        <w:rPr>
          <w:rFonts w:eastAsia="Times New Roman" w:cstheme="minorHAnsi"/>
          <w:lang w:eastAsia="pt-BR"/>
        </w:rPr>
        <w:t xml:space="preserve"> na periodicidade acordada para cada contrato, e a ANP disponibilizará seus dados para a interface do </w:t>
      </w:r>
      <w:r w:rsidR="009460EA" w:rsidRPr="0082394C">
        <w:rPr>
          <w:rFonts w:eastAsia="Times New Roman" w:cstheme="minorHAnsi"/>
          <w:lang w:eastAsia="pt-BR"/>
        </w:rPr>
        <w:t>SGPP</w:t>
      </w:r>
      <w:r w:rsidRPr="0082394C">
        <w:rPr>
          <w:rFonts w:eastAsia="Times New Roman" w:cstheme="minorHAnsi"/>
          <w:lang w:eastAsia="pt-BR"/>
        </w:rPr>
        <w:t>.</w:t>
      </w:r>
    </w:p>
    <w:p w:rsidR="0041483F" w:rsidRPr="0082394C" w:rsidRDefault="0041483F" w:rsidP="0041483F">
      <w:pPr>
        <w:pStyle w:val="Body"/>
        <w:tabs>
          <w:tab w:val="left" w:pos="993"/>
        </w:tabs>
        <w:spacing w:line="360" w:lineRule="auto"/>
        <w:ind w:left="644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ab/>
        <w:t xml:space="preserve">Com todos esses dados armazenados no </w:t>
      </w:r>
      <w:r w:rsidR="009460EA" w:rsidRPr="0082394C">
        <w:rPr>
          <w:rFonts w:eastAsia="Times New Roman" w:cstheme="minorHAnsi"/>
          <w:lang w:eastAsia="pt-BR"/>
        </w:rPr>
        <w:t>SGPP</w:t>
      </w:r>
      <w:r w:rsidRPr="0082394C">
        <w:rPr>
          <w:rFonts w:eastAsia="Times New Roman" w:cstheme="minorHAnsi"/>
          <w:lang w:eastAsia="pt-BR"/>
        </w:rPr>
        <w:t xml:space="preserve">, a CACP verifica os volumes da produção e roda uma rotina de monitoramento pelo </w:t>
      </w:r>
      <w:r w:rsidR="009460EA" w:rsidRPr="0082394C">
        <w:rPr>
          <w:rFonts w:eastAsia="Times New Roman" w:cstheme="minorHAnsi"/>
          <w:lang w:eastAsia="pt-BR"/>
        </w:rPr>
        <w:t>SGPP</w:t>
      </w:r>
      <w:r w:rsidRPr="0082394C">
        <w:rPr>
          <w:rFonts w:eastAsia="Times New Roman" w:cstheme="minorHAnsi"/>
          <w:lang w:eastAsia="pt-BR"/>
        </w:rPr>
        <w:t xml:space="preserve"> realizando análises dos dados das medições fiscais para óleo, gás e água e identificando os desvios, esclarecendo com os Operadores, fazendo as consolidações das produções, avaliando desempenho e produzindo relatórios com os resultados dessas análises. Em seguida esses resultados são enviados para as </w:t>
      </w:r>
      <w:proofErr w:type="spellStart"/>
      <w:r w:rsidRPr="0082394C">
        <w:rPr>
          <w:rFonts w:eastAsia="Times New Roman" w:cstheme="minorHAnsi"/>
          <w:lang w:eastAsia="pt-BR"/>
        </w:rPr>
        <w:t>GEs</w:t>
      </w:r>
      <w:proofErr w:type="spellEnd"/>
      <w:r w:rsidRPr="0082394C">
        <w:rPr>
          <w:rFonts w:eastAsia="Times New Roman" w:cstheme="minorHAnsi"/>
          <w:lang w:eastAsia="pt-BR"/>
        </w:rPr>
        <w:t xml:space="preserve"> dos </w:t>
      </w:r>
      <w:proofErr w:type="spellStart"/>
      <w:r w:rsidRPr="0082394C">
        <w:rPr>
          <w:rFonts w:eastAsia="Times New Roman" w:cstheme="minorHAnsi"/>
          <w:lang w:eastAsia="pt-BR"/>
        </w:rPr>
        <w:t>CPPs</w:t>
      </w:r>
      <w:proofErr w:type="spellEnd"/>
      <w:r w:rsidRPr="0082394C">
        <w:rPr>
          <w:rFonts w:eastAsia="Times New Roman" w:cstheme="minorHAnsi"/>
          <w:lang w:eastAsia="pt-BR"/>
        </w:rPr>
        <w:t xml:space="preserve"> e </w:t>
      </w:r>
      <w:proofErr w:type="spellStart"/>
      <w:r w:rsidRPr="0082394C">
        <w:rPr>
          <w:rFonts w:eastAsia="Times New Roman" w:cstheme="minorHAnsi"/>
          <w:lang w:eastAsia="pt-BR"/>
        </w:rPr>
        <w:t>AIPs</w:t>
      </w:r>
      <w:proofErr w:type="spellEnd"/>
      <w:r w:rsidRPr="0082394C">
        <w:rPr>
          <w:rFonts w:eastAsia="Times New Roman" w:cstheme="minorHAnsi"/>
          <w:lang w:eastAsia="pt-BR"/>
        </w:rPr>
        <w:t xml:space="preserve">, que por sua vez repassarão aos Operadores os quais possuem a responsabilidade de comunicar aos Consorciados. Relatórios com resultados consolidados de todos os contratos, somente para uso interno da </w:t>
      </w:r>
      <w:r w:rsidR="009460EA" w:rsidRPr="0082394C">
        <w:rPr>
          <w:rFonts w:eastAsia="Times New Roman" w:cstheme="minorHAnsi"/>
          <w:lang w:eastAsia="pt-BR"/>
        </w:rPr>
        <w:t>Pré-Sal Petróleo</w:t>
      </w:r>
      <w:r w:rsidRPr="0082394C">
        <w:rPr>
          <w:rFonts w:eastAsia="Times New Roman" w:cstheme="minorHAnsi"/>
          <w:lang w:eastAsia="pt-BR"/>
        </w:rPr>
        <w:t>, serão disponibilizados para a DE.</w:t>
      </w:r>
    </w:p>
    <w:p w:rsidR="00235BA2" w:rsidRPr="0082394C" w:rsidRDefault="00235BA2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2" w:name="_Toc492826310"/>
      <w:r w:rsidRPr="0082394C">
        <w:rPr>
          <w:b/>
          <w:sz w:val="22"/>
          <w:szCs w:val="22"/>
        </w:rPr>
        <w:t xml:space="preserve">Validações e Cálculos do </w:t>
      </w:r>
      <w:r w:rsidR="009460EA" w:rsidRPr="0082394C">
        <w:rPr>
          <w:b/>
          <w:sz w:val="22"/>
          <w:szCs w:val="22"/>
        </w:rPr>
        <w:t>SGPP</w:t>
      </w:r>
      <w:bookmarkEnd w:id="12"/>
    </w:p>
    <w:p w:rsidR="00AC191D" w:rsidRPr="0082394C" w:rsidRDefault="00AC191D" w:rsidP="007D2767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82394C">
        <w:rPr>
          <w:rFonts w:eastAsia="Times New Roman" w:cstheme="minorHAnsi"/>
          <w:lang w:eastAsia="pt-BR"/>
        </w:rPr>
        <w:t xml:space="preserve">Os dados de insumo do processo, listados no item anterior, são validados pelo </w:t>
      </w:r>
      <w:r w:rsidR="009460EA" w:rsidRPr="0082394C">
        <w:rPr>
          <w:rFonts w:eastAsia="Times New Roman" w:cstheme="minorHAnsi"/>
          <w:lang w:eastAsia="pt-BR"/>
        </w:rPr>
        <w:t>SGPP</w:t>
      </w:r>
      <w:r w:rsidRPr="0082394C">
        <w:rPr>
          <w:rFonts w:eastAsia="Times New Roman" w:cstheme="minorHAnsi"/>
          <w:lang w:eastAsia="pt-BR"/>
        </w:rPr>
        <w:t xml:space="preserve"> quanto à consistência, segundo critérios definidos pela </w:t>
      </w:r>
      <w:r w:rsidR="009460EA" w:rsidRPr="0082394C">
        <w:rPr>
          <w:rFonts w:eastAsia="Times New Roman" w:cstheme="minorHAnsi"/>
          <w:lang w:eastAsia="pt-BR"/>
        </w:rPr>
        <w:t>Pré-Sal Petróleo</w:t>
      </w:r>
      <w:r w:rsidRPr="0082394C">
        <w:rPr>
          <w:rFonts w:eastAsia="Times New Roman" w:cstheme="minorHAnsi"/>
          <w:lang w:eastAsia="pt-BR"/>
        </w:rPr>
        <w:t xml:space="preserve"> e acordados com as interfaces, e os cálculos e gráficos são realizadas pelo sistema obedecendo as regras paramétricas e de lógica definidas pela CACP. Mensalmente são gerados relatórios por CPP e por AIP, além do relatório consolidado mensal com a visão operacional do progresso da produção, avaliação do previsto x realizado, listagem dos desvios com suas causas e ações corretivas e preventivas definidas pelo Operador.</w:t>
      </w:r>
    </w:p>
    <w:p w:rsidR="00F47E29" w:rsidRPr="0082394C" w:rsidRDefault="00AC191D" w:rsidP="0082394C">
      <w:pPr>
        <w:pStyle w:val="Body"/>
        <w:spacing w:line="240" w:lineRule="auto"/>
        <w:ind w:left="658"/>
        <w:rPr>
          <w:rFonts w:eastAsia="Times New Roman" w:cstheme="minorHAnsi"/>
          <w:sz w:val="20"/>
          <w:lang w:eastAsia="pt-BR"/>
        </w:rPr>
      </w:pPr>
      <w:r w:rsidRPr="0082394C">
        <w:rPr>
          <w:rFonts w:cstheme="minorHAnsi"/>
          <w:noProof/>
          <w:lang w:eastAsia="pt-BR"/>
        </w:rPr>
        <w:drawing>
          <wp:inline distT="0" distB="0" distL="0" distR="0" wp14:anchorId="4F6FF06E" wp14:editId="1467910B">
            <wp:extent cx="5732145" cy="109474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7F05" w:rsidRPr="0082394C">
        <w:rPr>
          <w:rFonts w:eastAsia="Times New Roman" w:cstheme="minorHAnsi"/>
          <w:sz w:val="20"/>
          <w:lang w:eastAsia="pt-BR"/>
        </w:rPr>
        <w:t xml:space="preserve">Figura 1: Validações e Cálculos </w:t>
      </w:r>
      <w:r w:rsidR="007D2767" w:rsidRPr="0082394C">
        <w:rPr>
          <w:rFonts w:eastAsia="Times New Roman" w:cstheme="minorHAnsi"/>
          <w:sz w:val="20"/>
          <w:lang w:eastAsia="pt-BR"/>
        </w:rPr>
        <w:t>do Processo</w:t>
      </w:r>
    </w:p>
    <w:p w:rsidR="00F47E29" w:rsidRPr="0082394C" w:rsidRDefault="00F47E29" w:rsidP="00AC191D">
      <w:pPr>
        <w:pStyle w:val="Style2"/>
        <w:numPr>
          <w:ilvl w:val="1"/>
          <w:numId w:val="2"/>
        </w:numPr>
        <w:spacing w:before="240"/>
        <w:rPr>
          <w:b/>
          <w:sz w:val="22"/>
          <w:szCs w:val="22"/>
        </w:rPr>
      </w:pPr>
      <w:bookmarkStart w:id="13" w:name="_Toc492826311"/>
      <w:r w:rsidRPr="0082394C">
        <w:rPr>
          <w:b/>
          <w:sz w:val="22"/>
          <w:szCs w:val="22"/>
        </w:rPr>
        <w:t>Procedimento</w:t>
      </w:r>
      <w:r w:rsidR="00255FA8" w:rsidRPr="0082394C">
        <w:rPr>
          <w:b/>
          <w:sz w:val="22"/>
          <w:szCs w:val="22"/>
        </w:rPr>
        <w:t xml:space="preserve"> </w:t>
      </w:r>
      <w:r w:rsidR="00244CA1" w:rsidRPr="0082394C">
        <w:rPr>
          <w:b/>
          <w:sz w:val="22"/>
          <w:szCs w:val="22"/>
        </w:rPr>
        <w:t xml:space="preserve">de </w:t>
      </w:r>
      <w:r w:rsidR="00AC191D" w:rsidRPr="0082394C">
        <w:rPr>
          <w:b/>
          <w:sz w:val="22"/>
          <w:szCs w:val="22"/>
        </w:rPr>
        <w:t>Monitoramento da Produção</w:t>
      </w:r>
      <w:bookmarkEnd w:id="13"/>
    </w:p>
    <w:p w:rsidR="00244CA1" w:rsidRPr="0082394C" w:rsidRDefault="00AC191D" w:rsidP="00AC191D">
      <w:pPr>
        <w:spacing w:line="360" w:lineRule="auto"/>
        <w:ind w:left="709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O processo de Monitoramento da Produção possui os seguintes insumos provenientes de áreas internas e externas à </w:t>
      </w:r>
      <w:r w:rsidR="009460EA" w:rsidRPr="0082394C">
        <w:rPr>
          <w:rFonts w:asciiTheme="minorHAnsi" w:hAnsiTheme="minorHAnsi" w:cstheme="minorHAnsi"/>
          <w:sz w:val="22"/>
          <w:szCs w:val="22"/>
        </w:rPr>
        <w:t>Pré-Sal Petróleo</w:t>
      </w:r>
      <w:r w:rsidRPr="0082394C">
        <w:rPr>
          <w:rFonts w:asciiTheme="minorHAnsi" w:hAnsiTheme="minorHAnsi" w:cstheme="minorHAnsi"/>
          <w:sz w:val="22"/>
          <w:szCs w:val="22"/>
        </w:rPr>
        <w:t>:</w:t>
      </w:r>
    </w:p>
    <w:p w:rsidR="00AC191D" w:rsidRPr="0082394C" w:rsidRDefault="00AC191D" w:rsidP="00AC191D">
      <w:pPr>
        <w:pStyle w:val="PargrafodaLista"/>
        <w:numPr>
          <w:ilvl w:val="0"/>
          <w:numId w:val="30"/>
        </w:numPr>
        <w:spacing w:after="200" w:line="360" w:lineRule="auto"/>
        <w:ind w:left="1398" w:hanging="425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Operadores (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CPPs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>):</w:t>
      </w:r>
    </w:p>
    <w:p w:rsidR="00AC191D" w:rsidRPr="0082394C" w:rsidRDefault="00AC191D" w:rsidP="00AC191D">
      <w:pPr>
        <w:pStyle w:val="PargrafodaLista"/>
        <w:numPr>
          <w:ilvl w:val="0"/>
          <w:numId w:val="31"/>
        </w:numPr>
        <w:spacing w:line="360" w:lineRule="auto"/>
        <w:ind w:left="1792" w:hanging="357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lastRenderedPageBreak/>
        <w:t>Dados da produção diária (medições fiscais), produção e produtividade diária por poço e poços produtores no mês</w:t>
      </w:r>
    </w:p>
    <w:p w:rsidR="00AC191D" w:rsidRPr="0082394C" w:rsidRDefault="00AC191D" w:rsidP="00AC191D">
      <w:pPr>
        <w:pStyle w:val="Corpodetexto"/>
        <w:numPr>
          <w:ilvl w:val="1"/>
          <w:numId w:val="31"/>
        </w:numPr>
        <w:tabs>
          <w:tab w:val="left" w:pos="280"/>
        </w:tabs>
        <w:kinsoku w:val="0"/>
        <w:overflowPunct w:val="0"/>
        <w:spacing w:line="360" w:lineRule="auto"/>
        <w:ind w:left="1985" w:right="-2" w:hanging="235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A produtividade média diária dos poços da área do Contrato, bem como a especificação dos poços produtores, excluindo os poços com produção restringida por questões técnicas e operacionais não condizentes com as Melhores Práticas da Indústria e abaixo da média de produção dos demais poços.</w:t>
      </w:r>
    </w:p>
    <w:p w:rsidR="00AC191D" w:rsidRPr="0082394C" w:rsidRDefault="00AC191D" w:rsidP="00AC191D">
      <w:pPr>
        <w:pStyle w:val="PargrafodaLista"/>
        <w:numPr>
          <w:ilvl w:val="0"/>
          <w:numId w:val="31"/>
        </w:numPr>
        <w:spacing w:after="200" w:line="360" w:lineRule="auto"/>
        <w:ind w:left="1792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Dados das eficiências operacionais das Unidades de Exploração e Produção (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UEPs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>)</w:t>
      </w:r>
    </w:p>
    <w:p w:rsidR="00AC191D" w:rsidRPr="0082394C" w:rsidRDefault="00AC191D" w:rsidP="00AC191D">
      <w:pPr>
        <w:pStyle w:val="PargrafodaLista"/>
        <w:numPr>
          <w:ilvl w:val="0"/>
          <w:numId w:val="31"/>
        </w:numPr>
        <w:spacing w:after="200" w:line="360" w:lineRule="auto"/>
        <w:ind w:left="1792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Planos Anuais de Produção (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PAPs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>) e Planos de Desenvolvimento (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PDs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>) aprovados na ANP</w:t>
      </w:r>
    </w:p>
    <w:p w:rsidR="00AC191D" w:rsidRPr="0082394C" w:rsidRDefault="00AC191D" w:rsidP="00AC191D">
      <w:pPr>
        <w:pStyle w:val="PargrafodaLista"/>
        <w:numPr>
          <w:ilvl w:val="0"/>
          <w:numId w:val="31"/>
        </w:numPr>
        <w:spacing w:after="200" w:line="360" w:lineRule="auto"/>
        <w:ind w:left="1792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Dados das ocorrências HSE, de intervenções não programadas com impacto na produção e planejamento de intervenções</w:t>
      </w:r>
    </w:p>
    <w:p w:rsidR="00AC191D" w:rsidRPr="0082394C" w:rsidRDefault="00AC191D" w:rsidP="00AC191D">
      <w:pPr>
        <w:pStyle w:val="PargrafodaLista"/>
        <w:numPr>
          <w:ilvl w:val="0"/>
          <w:numId w:val="30"/>
        </w:numPr>
        <w:spacing w:after="200" w:line="360" w:lineRule="auto"/>
        <w:ind w:left="1693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ANP: </w:t>
      </w:r>
    </w:p>
    <w:p w:rsidR="00AC191D" w:rsidRPr="0082394C" w:rsidRDefault="00AC191D" w:rsidP="00AC191D">
      <w:pPr>
        <w:pStyle w:val="PargrafodaLista"/>
        <w:numPr>
          <w:ilvl w:val="0"/>
          <w:numId w:val="31"/>
        </w:numPr>
        <w:spacing w:after="200" w:line="360" w:lineRule="auto"/>
        <w:ind w:left="1792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Dados da produção diária (medições fiscais), produção e produtividade diária por poço e poços produtores no mês</w:t>
      </w:r>
    </w:p>
    <w:p w:rsidR="00AC191D" w:rsidRPr="0082394C" w:rsidRDefault="00AC191D" w:rsidP="00AC191D">
      <w:pPr>
        <w:pStyle w:val="PargrafodaLista"/>
        <w:numPr>
          <w:ilvl w:val="0"/>
          <w:numId w:val="30"/>
        </w:numPr>
        <w:spacing w:after="200" w:line="360" w:lineRule="auto"/>
        <w:ind w:left="1693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SRE: </w:t>
      </w:r>
    </w:p>
    <w:p w:rsidR="00AC191D" w:rsidRPr="0082394C" w:rsidRDefault="00AC191D" w:rsidP="00AC191D">
      <w:pPr>
        <w:pStyle w:val="PargrafodaLista"/>
        <w:numPr>
          <w:ilvl w:val="0"/>
          <w:numId w:val="31"/>
        </w:numPr>
        <w:spacing w:after="200" w:line="360" w:lineRule="auto"/>
        <w:ind w:left="1792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Dados da visão dos reservatórios – desempenho, vida útil, 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etc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>;</w:t>
      </w:r>
    </w:p>
    <w:p w:rsidR="00AC191D" w:rsidRPr="0082394C" w:rsidRDefault="00AC191D" w:rsidP="00AC191D">
      <w:pPr>
        <w:spacing w:line="360" w:lineRule="auto"/>
        <w:ind w:left="624" w:firstLine="352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O processo de Monitoramento da Produção é iniciado através da atividade a seguir:</w:t>
      </w:r>
    </w:p>
    <w:p w:rsidR="00AC191D" w:rsidRPr="0082394C" w:rsidRDefault="00AC191D" w:rsidP="00AC191D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82394C">
        <w:rPr>
          <w:b/>
          <w:sz w:val="22"/>
          <w:szCs w:val="22"/>
        </w:rPr>
        <w:t xml:space="preserve">Inclusão de dados no </w:t>
      </w:r>
      <w:r w:rsidR="009460EA" w:rsidRPr="0082394C">
        <w:rPr>
          <w:b/>
          <w:sz w:val="22"/>
          <w:szCs w:val="22"/>
        </w:rPr>
        <w:t>SGPP</w:t>
      </w:r>
      <w:r w:rsidRPr="0082394C">
        <w:rPr>
          <w:b/>
          <w:sz w:val="22"/>
          <w:szCs w:val="22"/>
        </w:rPr>
        <w:t xml:space="preserve"> – Atividades 1 a 3, ilustradas no Padrão de Processo (Anexo I)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A inclusão dos dados de insumo, listados acima, pelos Operadores dos 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CPPs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 xml:space="preserve"> deve ser realizada através de carregamento no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dentro do formato e prazo estipulados previamente pela </w:t>
      </w:r>
      <w:r w:rsidR="009460EA" w:rsidRPr="0082394C">
        <w:rPr>
          <w:rFonts w:asciiTheme="minorHAnsi" w:hAnsiTheme="minorHAnsi" w:cstheme="minorHAnsi"/>
          <w:sz w:val="22"/>
          <w:szCs w:val="22"/>
        </w:rPr>
        <w:t>Pré-Sal Petróleo</w:t>
      </w:r>
      <w:r w:rsidRPr="0082394C">
        <w:rPr>
          <w:rFonts w:asciiTheme="minorHAnsi" w:hAnsiTheme="minorHAnsi" w:cstheme="minorHAnsi"/>
          <w:sz w:val="22"/>
          <w:szCs w:val="22"/>
        </w:rPr>
        <w:t>, respeitando a particularidade de cada contrato.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Após a inclusão dos dados no sistema, este irá executar a validação automática (verificação de consistência) dos dados, conforme as seguintes premissas:</w:t>
      </w:r>
    </w:p>
    <w:p w:rsidR="00AC191D" w:rsidRPr="0082394C" w:rsidRDefault="00AC191D" w:rsidP="00A54198">
      <w:pPr>
        <w:pStyle w:val="PargrafodaLista"/>
        <w:numPr>
          <w:ilvl w:val="0"/>
          <w:numId w:val="33"/>
        </w:numPr>
        <w:spacing w:after="200" w:line="360" w:lineRule="auto"/>
        <w:ind w:left="20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2394C">
        <w:rPr>
          <w:rFonts w:asciiTheme="minorHAnsi" w:eastAsia="Times New Roman" w:hAnsiTheme="minorHAnsi" w:cstheme="minorHAnsi"/>
          <w:sz w:val="22"/>
          <w:szCs w:val="22"/>
        </w:rPr>
        <w:t xml:space="preserve">Se todos os arquivos inseridos no </w:t>
      </w:r>
      <w:r w:rsidR="009460EA" w:rsidRPr="0082394C">
        <w:rPr>
          <w:rFonts w:asciiTheme="minorHAnsi" w:eastAsia="Times New Roman" w:hAnsiTheme="minorHAnsi" w:cstheme="minorHAnsi"/>
          <w:sz w:val="22"/>
          <w:szCs w:val="22"/>
        </w:rPr>
        <w:t>SGPP</w:t>
      </w:r>
      <w:r w:rsidRPr="0082394C">
        <w:rPr>
          <w:rFonts w:asciiTheme="minorHAnsi" w:eastAsia="Times New Roman" w:hAnsiTheme="minorHAnsi" w:cstheme="minorHAnsi"/>
          <w:sz w:val="22"/>
          <w:szCs w:val="22"/>
        </w:rPr>
        <w:t xml:space="preserve"> foram carregados e possuem informações (não são arquivos vazios);</w:t>
      </w:r>
    </w:p>
    <w:p w:rsidR="00AC191D" w:rsidRPr="0082394C" w:rsidRDefault="00AC191D" w:rsidP="00A54198">
      <w:pPr>
        <w:pStyle w:val="PargrafodaLista"/>
        <w:numPr>
          <w:ilvl w:val="0"/>
          <w:numId w:val="33"/>
        </w:numPr>
        <w:spacing w:after="200" w:line="360" w:lineRule="auto"/>
        <w:ind w:left="20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2394C">
        <w:rPr>
          <w:rFonts w:asciiTheme="minorHAnsi" w:eastAsia="Times New Roman" w:hAnsiTheme="minorHAnsi" w:cstheme="minorHAnsi"/>
          <w:sz w:val="22"/>
          <w:szCs w:val="22"/>
        </w:rPr>
        <w:t>Se todos os arquivos estão no formato acordado; e</w:t>
      </w:r>
    </w:p>
    <w:p w:rsidR="00AC191D" w:rsidRPr="0082394C" w:rsidRDefault="00AC191D" w:rsidP="00A54198">
      <w:pPr>
        <w:pStyle w:val="PargrafodaLista"/>
        <w:numPr>
          <w:ilvl w:val="0"/>
          <w:numId w:val="33"/>
        </w:numPr>
        <w:spacing w:line="360" w:lineRule="auto"/>
        <w:ind w:left="2064" w:hanging="35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2394C">
        <w:rPr>
          <w:rFonts w:asciiTheme="minorHAnsi" w:eastAsia="Times New Roman" w:hAnsiTheme="minorHAnsi" w:cstheme="minorHAnsi"/>
          <w:sz w:val="22"/>
          <w:szCs w:val="22"/>
        </w:rPr>
        <w:t xml:space="preserve">Se o conteúdo de todos os arquivos possui seus campos preenchidos no formato, unidade e precisão, </w:t>
      </w:r>
      <w:proofErr w:type="spellStart"/>
      <w:r w:rsidRPr="0082394C">
        <w:rPr>
          <w:rFonts w:asciiTheme="minorHAnsi" w:eastAsia="Times New Roman" w:hAnsiTheme="minorHAnsi" w:cstheme="minorHAnsi"/>
          <w:sz w:val="22"/>
          <w:szCs w:val="22"/>
        </w:rPr>
        <w:t>etc</w:t>
      </w:r>
      <w:proofErr w:type="spellEnd"/>
      <w:r w:rsidRPr="0082394C">
        <w:rPr>
          <w:rFonts w:asciiTheme="minorHAnsi" w:eastAsia="Times New Roman" w:hAnsiTheme="minorHAnsi" w:cstheme="minorHAnsi"/>
          <w:sz w:val="22"/>
          <w:szCs w:val="22"/>
        </w:rPr>
        <w:t>, conforme critérios acordados.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A inclusão dos dados de insumo pela ANP deve ser realizada através do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dentro do formato e prazo acordados previamente com a </w:t>
      </w:r>
      <w:r w:rsidR="009460EA" w:rsidRPr="0082394C">
        <w:rPr>
          <w:rFonts w:asciiTheme="minorHAnsi" w:hAnsiTheme="minorHAnsi" w:cstheme="minorHAnsi"/>
          <w:sz w:val="22"/>
          <w:szCs w:val="22"/>
        </w:rPr>
        <w:t>Pré-Sal Petróleo</w:t>
      </w:r>
      <w:r w:rsidRPr="0082394C">
        <w:rPr>
          <w:rFonts w:asciiTheme="minorHAnsi" w:hAnsiTheme="minorHAnsi" w:cstheme="minorHAnsi"/>
          <w:sz w:val="22"/>
          <w:szCs w:val="22"/>
        </w:rPr>
        <w:t>, respeitando a particularidade de cada contrato.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lastRenderedPageBreak/>
        <w:t xml:space="preserve">Após a inclusão dos dados no sistema, estes não necessitam passar pelo validador automático, sendo automaticamente carregados no sistema, encaminhados ao Banco de Dados e acessíveis via </w:t>
      </w:r>
      <w:r w:rsidRPr="0082394C">
        <w:rPr>
          <w:rFonts w:asciiTheme="minorHAnsi" w:hAnsiTheme="minorHAnsi" w:cstheme="minorHAnsi"/>
          <w:i/>
          <w:sz w:val="22"/>
          <w:szCs w:val="22"/>
        </w:rPr>
        <w:t>workflow</w:t>
      </w:r>
      <w:r w:rsidRPr="0082394C">
        <w:rPr>
          <w:rFonts w:asciiTheme="minorHAnsi" w:hAnsiTheme="minorHAnsi" w:cstheme="minorHAnsi"/>
          <w:sz w:val="22"/>
          <w:szCs w:val="22"/>
        </w:rPr>
        <w:t>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A inclusão dos dados de insumo pela SRE se dará conforme necessidade da CACP em obter suporte da SRE para questões específicas relacionadas aos insumos dos Operadores, e serão disponibilizados via </w:t>
      </w:r>
      <w:r w:rsidRPr="0082394C">
        <w:rPr>
          <w:rFonts w:asciiTheme="minorHAnsi" w:hAnsiTheme="minorHAnsi" w:cstheme="minorHAnsi"/>
          <w:i/>
          <w:sz w:val="22"/>
          <w:szCs w:val="22"/>
        </w:rPr>
        <w:t>workflow</w:t>
      </w:r>
      <w:r w:rsidRPr="0082394C">
        <w:rPr>
          <w:rFonts w:asciiTheme="minorHAnsi" w:hAnsiTheme="minorHAnsi" w:cstheme="minorHAnsi"/>
          <w:sz w:val="22"/>
          <w:szCs w:val="22"/>
        </w:rPr>
        <w:t>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Caso os dados não sejam validados, o sistema retornará ao Operador uma mensagem de erro e/ou carregamento de dados não concluído ao Operador que deverá realizar as correções necessárias, conforme indicação da validação sistêmica e carregar os dados novamente.</w:t>
      </w:r>
    </w:p>
    <w:p w:rsidR="00AC191D" w:rsidRPr="0082394C" w:rsidRDefault="00AC191D" w:rsidP="00AC191D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82394C">
        <w:rPr>
          <w:b/>
          <w:sz w:val="22"/>
          <w:szCs w:val="22"/>
        </w:rPr>
        <w:t>Abertura do Processo Administrativo e Liberação dos Dados de Insumos – Atividades 4 a 6, ilustradas no Padrão de Processo (Anexo I)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Atividade automática de registrar no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que a carga de dados foi processada indicando quem foi o responsável pela inserção dos dados, a data, a hora e disparar aviso via </w:t>
      </w:r>
      <w:r w:rsidRPr="0082394C">
        <w:rPr>
          <w:rFonts w:asciiTheme="minorHAnsi" w:hAnsiTheme="minorHAnsi" w:cstheme="minorHAnsi"/>
          <w:i/>
          <w:sz w:val="22"/>
          <w:szCs w:val="22"/>
        </w:rPr>
        <w:t>workflow</w:t>
      </w:r>
      <w:r w:rsidRPr="0082394C">
        <w:rPr>
          <w:rFonts w:asciiTheme="minorHAnsi" w:hAnsiTheme="minorHAnsi" w:cstheme="minorHAnsi"/>
          <w:sz w:val="22"/>
          <w:szCs w:val="22"/>
        </w:rPr>
        <w:t xml:space="preserve"> para as 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GEs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 xml:space="preserve"> responsáveis (CPP e/ou AIP), informando que a carga de dados foi processada e armazenada no sistema.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Após registro da carga de dados no sistema, 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dispara via </w:t>
      </w:r>
      <w:r w:rsidRPr="0082394C">
        <w:rPr>
          <w:rFonts w:asciiTheme="minorHAnsi" w:hAnsiTheme="minorHAnsi" w:cstheme="minorHAnsi"/>
          <w:i/>
          <w:sz w:val="22"/>
          <w:szCs w:val="22"/>
        </w:rPr>
        <w:t>workflow</w:t>
      </w:r>
      <w:r w:rsidRPr="0082394C">
        <w:rPr>
          <w:rFonts w:asciiTheme="minorHAnsi" w:hAnsiTheme="minorHAnsi" w:cstheme="minorHAnsi"/>
          <w:sz w:val="22"/>
          <w:szCs w:val="22"/>
        </w:rPr>
        <w:t xml:space="preserve"> a necessidade de abertura do processo administrativo para o responsável da GE (CPP e/ou AIP) realizar as seguintes atividades:</w:t>
      </w:r>
    </w:p>
    <w:p w:rsidR="00AC191D" w:rsidRPr="0082394C" w:rsidRDefault="00AC191D" w:rsidP="00A54198">
      <w:pPr>
        <w:pStyle w:val="Corpodetexto"/>
        <w:numPr>
          <w:ilvl w:val="0"/>
          <w:numId w:val="34"/>
        </w:numPr>
        <w:tabs>
          <w:tab w:val="left" w:pos="280"/>
        </w:tabs>
        <w:kinsoku w:val="0"/>
        <w:overflowPunct w:val="0"/>
        <w:spacing w:line="360" w:lineRule="auto"/>
        <w:ind w:left="242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Gerar código do processo administrativo no </w:t>
      </w:r>
      <w:r w:rsidR="009460EA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SGPP</w:t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, formalizando sua abertura;</w:t>
      </w:r>
    </w:p>
    <w:p w:rsidR="00AC191D" w:rsidRPr="0082394C" w:rsidRDefault="00AC191D" w:rsidP="00A54198">
      <w:pPr>
        <w:pStyle w:val="Corpodetexto"/>
        <w:numPr>
          <w:ilvl w:val="0"/>
          <w:numId w:val="34"/>
        </w:numPr>
        <w:tabs>
          <w:tab w:val="left" w:pos="280"/>
        </w:tabs>
        <w:kinsoku w:val="0"/>
        <w:overflowPunct w:val="0"/>
        <w:spacing w:line="360" w:lineRule="auto"/>
        <w:ind w:left="2427" w:right="-2"/>
        <w:rPr>
          <w:rFonts w:asciiTheme="minorHAnsi" w:hAnsiTheme="minorHAnsi" w:cstheme="minorHAnsi"/>
          <w:i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Gerar lista dos documentos recebidos no carregamento de insumos,</w:t>
      </w:r>
      <w:r w:rsidRPr="0082394C">
        <w:rPr>
          <w:rFonts w:asciiTheme="minorHAnsi" w:hAnsiTheme="minorHAnsi" w:cstheme="minorHAnsi"/>
          <w:i w:val="0"/>
          <w:szCs w:val="22"/>
        </w:rPr>
        <w:t xml:space="preserve"> encaminhar arquivos ao Banco de Dados (no </w:t>
      </w:r>
      <w:r w:rsidR="009460EA" w:rsidRPr="0082394C">
        <w:rPr>
          <w:rFonts w:asciiTheme="minorHAnsi" w:hAnsiTheme="minorHAnsi" w:cstheme="minorHAnsi"/>
          <w:i w:val="0"/>
          <w:szCs w:val="22"/>
        </w:rPr>
        <w:t>SGPP</w:t>
      </w:r>
      <w:r w:rsidRPr="0082394C">
        <w:rPr>
          <w:rFonts w:asciiTheme="minorHAnsi" w:hAnsiTheme="minorHAnsi" w:cstheme="minorHAnsi"/>
          <w:i w:val="0"/>
          <w:szCs w:val="22"/>
        </w:rPr>
        <w:t>) e arquivar em via física (quando for necessário);</w:t>
      </w:r>
    </w:p>
    <w:p w:rsidR="00AC191D" w:rsidRPr="0082394C" w:rsidRDefault="00AC191D" w:rsidP="00A54198">
      <w:pPr>
        <w:pStyle w:val="Corpodetexto"/>
        <w:numPr>
          <w:ilvl w:val="1"/>
          <w:numId w:val="35"/>
        </w:numPr>
        <w:tabs>
          <w:tab w:val="left" w:pos="280"/>
        </w:tabs>
        <w:kinsoku w:val="0"/>
        <w:overflowPunct w:val="0"/>
        <w:spacing w:line="360" w:lineRule="auto"/>
        <w:ind w:left="2841" w:right="-2" w:hanging="340"/>
        <w:rPr>
          <w:rFonts w:asciiTheme="minorHAnsi" w:hAnsiTheme="minorHAnsi" w:cstheme="minorHAnsi"/>
          <w:i w:val="0"/>
          <w:szCs w:val="22"/>
        </w:rPr>
      </w:pPr>
      <w:r w:rsidRPr="0082394C">
        <w:rPr>
          <w:rFonts w:asciiTheme="minorHAnsi" w:hAnsiTheme="minorHAnsi" w:cstheme="minorHAnsi"/>
          <w:i w:val="0"/>
          <w:szCs w:val="22"/>
        </w:rPr>
        <w:t xml:space="preserve">Quando houver necessidade de arquivar os documentos em meio físico, é necessário imprimir uma folha de rosto referenciada com o código gerado pelo </w:t>
      </w:r>
      <w:r w:rsidR="009460EA" w:rsidRPr="0082394C">
        <w:rPr>
          <w:rFonts w:asciiTheme="minorHAnsi" w:hAnsiTheme="minorHAnsi" w:cstheme="minorHAnsi"/>
          <w:i w:val="0"/>
          <w:szCs w:val="22"/>
        </w:rPr>
        <w:t>SGPP</w:t>
      </w:r>
      <w:r w:rsidRPr="0082394C">
        <w:rPr>
          <w:rFonts w:asciiTheme="minorHAnsi" w:hAnsiTheme="minorHAnsi" w:cstheme="minorHAnsi"/>
          <w:i w:val="0"/>
          <w:szCs w:val="22"/>
        </w:rPr>
        <w:t xml:space="preserve">. Os documentos devem ser arquivados e controlados em uma pasta física na </w:t>
      </w:r>
      <w:r w:rsidR="009460EA" w:rsidRPr="0082394C">
        <w:rPr>
          <w:rFonts w:asciiTheme="minorHAnsi" w:hAnsiTheme="minorHAnsi" w:cstheme="minorHAnsi"/>
          <w:i w:val="0"/>
          <w:szCs w:val="22"/>
        </w:rPr>
        <w:t>Pré-Sal Petróleo</w:t>
      </w:r>
      <w:r w:rsidRPr="0082394C">
        <w:rPr>
          <w:rFonts w:asciiTheme="minorHAnsi" w:hAnsiTheme="minorHAnsi" w:cstheme="minorHAnsi"/>
          <w:i w:val="0"/>
          <w:szCs w:val="22"/>
        </w:rPr>
        <w:t>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Lista de documentos que devem estar arquivados para o processo de Monitoramento da Produção:</w:t>
      </w:r>
    </w:p>
    <w:tbl>
      <w:tblPr>
        <w:tblW w:w="8825" w:type="dxa"/>
        <w:tblInd w:w="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6"/>
        <w:gridCol w:w="3779"/>
      </w:tblGrid>
      <w:tr w:rsidR="0082394C" w:rsidRPr="0082394C" w:rsidTr="00851996">
        <w:trPr>
          <w:trHeight w:val="472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Documentos que devem ser arquivados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Meio físico e/ou digital</w:t>
            </w:r>
          </w:p>
        </w:tc>
      </w:tr>
      <w:tr w:rsidR="0082394C" w:rsidRPr="0082394C" w:rsidTr="00851996">
        <w:trPr>
          <w:trHeight w:val="472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AC191D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Plano Anual de Produção (PAP)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Digital</w:t>
            </w:r>
          </w:p>
        </w:tc>
      </w:tr>
      <w:tr w:rsidR="0082394C" w:rsidRPr="0082394C" w:rsidTr="00851996">
        <w:trPr>
          <w:trHeight w:val="472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AC191D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Plano de Desenvolvimento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Digital</w:t>
            </w:r>
          </w:p>
        </w:tc>
      </w:tr>
      <w:tr w:rsidR="0082394C" w:rsidRPr="0082394C" w:rsidTr="00851996">
        <w:trPr>
          <w:trHeight w:val="472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AC191D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Relatório de Ocorrência de HSE do Operador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Digital</w:t>
            </w:r>
          </w:p>
        </w:tc>
      </w:tr>
      <w:tr w:rsidR="0082394C" w:rsidRPr="0082394C" w:rsidTr="00851996">
        <w:trPr>
          <w:trHeight w:val="472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AC191D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Relatório de Intervenções Programadas do Operador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Digital</w:t>
            </w:r>
          </w:p>
        </w:tc>
      </w:tr>
      <w:tr w:rsidR="0082394C" w:rsidRPr="0082394C" w:rsidTr="00851996">
        <w:trPr>
          <w:trHeight w:val="472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AC191D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Relatório das Eficiências Operacionais do Operador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Digital</w:t>
            </w:r>
          </w:p>
        </w:tc>
      </w:tr>
      <w:tr w:rsidR="0082394C" w:rsidRPr="0082394C" w:rsidTr="00851996">
        <w:trPr>
          <w:trHeight w:val="472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AC191D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Cartas Oficiais de comunicação com o Operador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Digital</w:t>
            </w:r>
          </w:p>
        </w:tc>
      </w:tr>
      <w:tr w:rsidR="0082394C" w:rsidRPr="0082394C" w:rsidTr="00851996">
        <w:trPr>
          <w:trHeight w:val="472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AC191D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Notas Técnicas com análises mensais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Digital</w:t>
            </w:r>
          </w:p>
        </w:tc>
      </w:tr>
      <w:tr w:rsidR="0082394C" w:rsidRPr="0082394C" w:rsidTr="00851996">
        <w:trPr>
          <w:trHeight w:val="472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AC191D">
            <w:pPr>
              <w:pStyle w:val="PargrafodaLista"/>
              <w:numPr>
                <w:ilvl w:val="0"/>
                <w:numId w:val="9"/>
              </w:numPr>
              <w:spacing w:after="200"/>
              <w:ind w:left="31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Relatórios mensais e consolidados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91D" w:rsidRPr="0082394C" w:rsidRDefault="00AC191D" w:rsidP="00132CA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39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Digital</w:t>
            </w:r>
          </w:p>
        </w:tc>
      </w:tr>
    </w:tbl>
    <w:p w:rsidR="00AC191D" w:rsidRPr="0082394C" w:rsidRDefault="00AC191D" w:rsidP="00AC191D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82394C">
        <w:rPr>
          <w:b/>
          <w:sz w:val="22"/>
          <w:szCs w:val="22"/>
        </w:rPr>
        <w:t>Acessar Dados da Produção no Sistema – Atividade 7, ilustrada no Padrão de Processo (Anexo I)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O responsável na GE (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CPPs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 xml:space="preserve">) após concluídas as etapas de abertura do processo administrativo garante que todos os dados de insumo sejam postados no sistema. 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O responsável da CACP fará o acesso dos dados do Operador e ANP no sistema.</w:t>
      </w:r>
    </w:p>
    <w:p w:rsidR="00AC191D" w:rsidRPr="0082394C" w:rsidRDefault="00AC191D" w:rsidP="00AC191D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82394C">
        <w:rPr>
          <w:b/>
          <w:sz w:val="22"/>
          <w:szCs w:val="22"/>
        </w:rPr>
        <w:t>Rotina de Monitoramento da Produção – Atividades 8 a 18, ilustradas no Padrão de Processo (Anexo I)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Com o acesso aos dados de produção no Banco de Dados das Produções no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, o processo de Monitoramento da Produção pode ser iniciado com a verificação das vazões de áreas de óleo, gás e água contra as referências ou previsões estabelecidas nos 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PAPs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82394C">
        <w:rPr>
          <w:rFonts w:asciiTheme="minorHAnsi" w:hAnsiTheme="minorHAnsi" w:cstheme="minorHAnsi"/>
          <w:sz w:val="22"/>
          <w:szCs w:val="22"/>
        </w:rPr>
        <w:t>PDs</w:t>
      </w:r>
      <w:proofErr w:type="spellEnd"/>
      <w:r w:rsidRPr="0082394C">
        <w:rPr>
          <w:rFonts w:asciiTheme="minorHAnsi" w:hAnsiTheme="minorHAnsi" w:cstheme="minorHAnsi"/>
          <w:sz w:val="22"/>
          <w:szCs w:val="22"/>
        </w:rPr>
        <w:t>. Esta verificação será feita automaticamente pelo sistema, onde serão considerados como desvio as vazões que estiverem fora da faixa de tolerância (referência +/- 10%), para as quais o sistema deverá sinalizar alerta de desvio ao usuário e destacá-las como desvios a serem esclarecidos ou melhor detalhados junto ao Operador após a Consolidação Preliminar dos Resultados (Atividade nº 19).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Em seguida, a Rotina de Monitoramento da Produção no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é realizada com a análise dos seguintes dados:</w:t>
      </w:r>
    </w:p>
    <w:p w:rsidR="00AC191D" w:rsidRPr="0082394C" w:rsidRDefault="00AC191D" w:rsidP="00A54198">
      <w:pPr>
        <w:pStyle w:val="Corpodetexto"/>
        <w:numPr>
          <w:ilvl w:val="0"/>
          <w:numId w:val="36"/>
        </w:numPr>
        <w:tabs>
          <w:tab w:val="left" w:pos="280"/>
        </w:tabs>
        <w:kinsoku w:val="0"/>
        <w:overflowPunct w:val="0"/>
        <w:spacing w:line="360" w:lineRule="auto"/>
        <w:ind w:left="242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Consumo nas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UEPs</w:t>
      </w:r>
      <w:proofErr w:type="spellEnd"/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Verificar o consumo de gás nas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UEPs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(combustível,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reinjeção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, queima direta);</w:t>
      </w:r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Identificar os desvios de consumo nas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UEPs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;</w:t>
      </w:r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lastRenderedPageBreak/>
        <w:t>Verificar a eficiência operacional efetiva x projetada e identificar anomalias;</w:t>
      </w:r>
    </w:p>
    <w:p w:rsidR="00AC191D" w:rsidRPr="0082394C" w:rsidRDefault="00AC191D" w:rsidP="00A54198">
      <w:pPr>
        <w:pStyle w:val="Corpodetexto"/>
        <w:numPr>
          <w:ilvl w:val="0"/>
          <w:numId w:val="36"/>
        </w:numPr>
        <w:tabs>
          <w:tab w:val="left" w:pos="280"/>
        </w:tabs>
        <w:kinsoku w:val="0"/>
        <w:overflowPunct w:val="0"/>
        <w:spacing w:line="360" w:lineRule="auto"/>
        <w:ind w:left="242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Vazamentos e alertas de HSE</w:t>
      </w:r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Verificar ocorrências de vazamentos e alertas de HSE com impacto na produção;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Em paralelo, o responsável na CACP fará verificações analíticas com relação às paradas técnicas:</w:t>
      </w:r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Analisar os dados das paradas técnicas, quando existirem relatórios a respeito;</w:t>
      </w:r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Verificar possíveis desvios no planejamento das paradas, tais como antecipações, postergações, aumento da frequência das intervenções,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etc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;</w:t>
      </w:r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Verificar possíveis impactos na produção em função de paradas não programadas;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Mensalmente o sistema fará o cruzamento dos dados diários da produção com os dados mensais da produção, informados pelo Operador em seu Boletim Mensal também carregado no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com o objetivo de:</w:t>
      </w:r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Confirmar os desvios nas medições fiscais;</w:t>
      </w:r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Confirmar as eficiências operacionais efetivas; e</w:t>
      </w:r>
    </w:p>
    <w:p w:rsidR="00AC191D" w:rsidRPr="0082394C" w:rsidRDefault="00AC191D" w:rsidP="00A54198">
      <w:pPr>
        <w:pStyle w:val="Corpodetexto"/>
        <w:numPr>
          <w:ilvl w:val="1"/>
          <w:numId w:val="37"/>
        </w:numPr>
        <w:tabs>
          <w:tab w:val="left" w:pos="280"/>
        </w:tabs>
        <w:kinsoku w:val="0"/>
        <w:overflowPunct w:val="0"/>
        <w:spacing w:line="360" w:lineRule="auto"/>
        <w:ind w:left="2557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Confirmar como foi feito o </w:t>
      </w:r>
      <w:proofErr w:type="spellStart"/>
      <w:r w:rsidRPr="0082394C">
        <w:rPr>
          <w:rFonts w:asciiTheme="minorHAnsi" w:hAnsiTheme="minorHAnsi" w:cstheme="minorHAnsi"/>
          <w:bCs w:val="0"/>
          <w:iCs w:val="0"/>
          <w:szCs w:val="22"/>
        </w:rPr>
        <w:t>off-set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mensal dos desvios diários.</w:t>
      </w:r>
    </w:p>
    <w:p w:rsidR="00AC191D" w:rsidRPr="0082394C" w:rsidRDefault="00AC191D" w:rsidP="00AC191D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82394C">
        <w:rPr>
          <w:b/>
          <w:sz w:val="22"/>
          <w:szCs w:val="22"/>
        </w:rPr>
        <w:t>Consolidação Preliminar dos Resultados – Atividades 19 a 25, ilustradas no Padrão de Processo (Anexo I)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Após a execução da rotina de monitoramento da produção pelo sistema, a CACP irá realizar a consolidação preliminar dos resultados juntando as consolidações automáticas feitas pelo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>, tais como: somatório das produções dos poços por UEP em cada contrato, onde todos os desvios deverão aparecer destacados, mais as verificações analíticas feitas pela CACP na Rotina de Monitoramento da Produção.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Se necessário contatar o Operador para esclarecimentos, a CACP deve verificar a necessidade de se fazer a comunicação via formalização da GE (Carta Oficial), caso contrário, entrar em contato direto com o Operador enviando os questionamentos via e-mail com suporte do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>. O Operador em seguida irá avaliar os questionamentos e responder à CACP pelos mesmos meios.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Se for necessária a comunicação com o Operador via formalização da GE, a solicitação de informações adicionais e/ou questionamentos deverá ser enviada via Carta Oficial pela respectiva GE do CPP ou AIP. O Operador deverá avaliar os questionamentos e retornar à GE via Carta Oficial, disponibilizando-a posteriormente à CACP via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que avaliará se os esclarecimentos foram </w:t>
      </w:r>
      <w:r w:rsidRPr="0082394C">
        <w:rPr>
          <w:rFonts w:asciiTheme="minorHAnsi" w:hAnsiTheme="minorHAnsi" w:cstheme="minorHAnsi"/>
          <w:sz w:val="22"/>
          <w:szCs w:val="22"/>
        </w:rPr>
        <w:lastRenderedPageBreak/>
        <w:t>satisfatórios. Caso seja necessário refinar os esclarecimentos repete-se o processo de comunicação descrito acima.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Caso não seja necessário buscar esclarecimentos junto ao Operador, o processo no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segue para a Consolidação Final de Resultados (Atividade nº 26).</w:t>
      </w:r>
    </w:p>
    <w:p w:rsidR="00AC191D" w:rsidRPr="0082394C" w:rsidRDefault="00AC191D" w:rsidP="00AC191D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82394C">
        <w:rPr>
          <w:b/>
          <w:sz w:val="22"/>
          <w:szCs w:val="22"/>
        </w:rPr>
        <w:t>Consolidação Final dos Resultados – Atividades 26 a 34, ilustradas no Padrão de Processo (Anexo I)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irá rodar rotina automática de consolidação final dos resultados do Monitoramento da Produção realizando as seguintes atividades:</w:t>
      </w:r>
    </w:p>
    <w:p w:rsidR="00AC191D" w:rsidRPr="0082394C" w:rsidRDefault="00AC191D" w:rsidP="00A54198">
      <w:pPr>
        <w:pStyle w:val="Corpodetexto"/>
        <w:numPr>
          <w:ilvl w:val="0"/>
          <w:numId w:val="38"/>
        </w:numPr>
        <w:tabs>
          <w:tab w:val="left" w:pos="280"/>
        </w:tabs>
        <w:kinsoku w:val="0"/>
        <w:overflowPunct w:val="0"/>
        <w:spacing w:line="360" w:lineRule="auto"/>
        <w:ind w:left="2416" w:right="-2" w:hanging="699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Consolidar produções por poço, por UEP, por campo, por módulo em cada contrato;</w:t>
      </w:r>
    </w:p>
    <w:p w:rsidR="00AC191D" w:rsidRPr="0082394C" w:rsidRDefault="00AC191D" w:rsidP="00A54198">
      <w:pPr>
        <w:pStyle w:val="Corpodetexto"/>
        <w:numPr>
          <w:ilvl w:val="0"/>
          <w:numId w:val="38"/>
        </w:numPr>
        <w:tabs>
          <w:tab w:val="left" w:pos="280"/>
        </w:tabs>
        <w:kinsoku w:val="0"/>
        <w:overflowPunct w:val="0"/>
        <w:spacing w:line="360" w:lineRule="auto"/>
        <w:ind w:left="2416" w:right="-2" w:hanging="699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Gerar curvas do previsto x realizado e de tendência da produção; e</w:t>
      </w:r>
    </w:p>
    <w:p w:rsidR="00AC191D" w:rsidRPr="0082394C" w:rsidRDefault="00AC191D" w:rsidP="00A54198">
      <w:pPr>
        <w:pStyle w:val="Corpodetexto"/>
        <w:numPr>
          <w:ilvl w:val="0"/>
          <w:numId w:val="38"/>
        </w:numPr>
        <w:tabs>
          <w:tab w:val="left" w:pos="280"/>
        </w:tabs>
        <w:kinsoku w:val="0"/>
        <w:overflowPunct w:val="0"/>
        <w:spacing w:line="360" w:lineRule="auto"/>
        <w:ind w:left="2416" w:right="-2" w:hanging="699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Atualizar Banco de Dados das Produções no </w:t>
      </w:r>
      <w:r w:rsidR="009460EA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SGPP</w:t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Após a consolidação automática, a CACP avaliará os resultados consolidados e definirá a necessidade ou não de solicitar formalmente esclarecimentos adicionais ao Operador, os quais serão encaminhados pela respectiva GE do contrato via Carta Oficial, ficando responsável pelo retorno do Operador à CACP. Em não havendo necessidade de esclarecimentos adicionais, o processo segue no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para a elaboração de relatórios (a partir da atividade nº 35).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Uma vez completado o ciclo final de comunicação com o Operador para esclarecimentos e após todas as atualizações no sistema, o Banco de Dados das Produções no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servirá de insumo para o processo na CACP de Cálculo dos Excedentes e Parcelas da Produção (representado como output no Padrão de Processo Anexo I).</w:t>
      </w:r>
    </w:p>
    <w:p w:rsidR="00AC191D" w:rsidRPr="0082394C" w:rsidRDefault="00AC191D" w:rsidP="00AC191D">
      <w:pPr>
        <w:pStyle w:val="Style3"/>
        <w:numPr>
          <w:ilvl w:val="2"/>
          <w:numId w:val="2"/>
        </w:numPr>
        <w:tabs>
          <w:tab w:val="left" w:pos="1560"/>
        </w:tabs>
        <w:rPr>
          <w:b/>
          <w:sz w:val="22"/>
          <w:szCs w:val="22"/>
        </w:rPr>
      </w:pPr>
      <w:r w:rsidRPr="0082394C">
        <w:rPr>
          <w:b/>
          <w:sz w:val="22"/>
          <w:szCs w:val="22"/>
        </w:rPr>
        <w:t>Geração e Distribuição de Relatórios – Atividades 35 a 42, ilustradas no Padrão de Processo (Anexo I)</w:t>
      </w: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As saídas do processo de Monitoramento da Produção serão entregáveis destinados às seguintes áreas:</w:t>
      </w:r>
    </w:p>
    <w:p w:rsidR="00AC191D" w:rsidRPr="0082394C" w:rsidRDefault="00AC191D" w:rsidP="00A54198">
      <w:pPr>
        <w:pStyle w:val="Corpodetexto"/>
        <w:numPr>
          <w:ilvl w:val="0"/>
          <w:numId w:val="40"/>
        </w:numPr>
        <w:tabs>
          <w:tab w:val="left" w:pos="280"/>
        </w:tabs>
        <w:kinsoku w:val="0"/>
        <w:overflowPunct w:val="0"/>
        <w:spacing w:line="360" w:lineRule="auto"/>
        <w:ind w:left="2095" w:right="-2" w:hanging="399"/>
        <w:rPr>
          <w:rFonts w:asciiTheme="minorHAnsi" w:hAnsiTheme="minorHAnsi" w:cstheme="minorHAnsi"/>
          <w:bCs w:val="0"/>
          <w:i w:val="0"/>
          <w:iCs w:val="0"/>
          <w:szCs w:val="22"/>
        </w:rPr>
      </w:pP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GEs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dos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CPPs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e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AIPs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e SRE:</w:t>
      </w:r>
    </w:p>
    <w:p w:rsidR="00AC191D" w:rsidRPr="0082394C" w:rsidRDefault="00AC191D" w:rsidP="00A54198">
      <w:pPr>
        <w:pStyle w:val="Corpodetexto"/>
        <w:numPr>
          <w:ilvl w:val="1"/>
          <w:numId w:val="39"/>
        </w:numPr>
        <w:tabs>
          <w:tab w:val="left" w:pos="280"/>
        </w:tabs>
        <w:kinsoku w:val="0"/>
        <w:overflowPunct w:val="0"/>
        <w:spacing w:line="360" w:lineRule="auto"/>
        <w:ind w:left="2459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Atualização do Banco de Dados das Produções no </w:t>
      </w:r>
      <w:r w:rsidR="009460EA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SGPP</w:t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.</w:t>
      </w:r>
    </w:p>
    <w:p w:rsidR="00AC191D" w:rsidRPr="0082394C" w:rsidRDefault="00AC191D" w:rsidP="00A54198">
      <w:pPr>
        <w:ind w:left="289"/>
        <w:rPr>
          <w:rFonts w:asciiTheme="minorHAnsi" w:hAnsiTheme="minorHAnsi" w:cstheme="minorHAnsi"/>
          <w:sz w:val="22"/>
          <w:szCs w:val="22"/>
        </w:rPr>
      </w:pPr>
    </w:p>
    <w:p w:rsidR="00AC191D" w:rsidRPr="0082394C" w:rsidRDefault="00AC191D" w:rsidP="00A54198">
      <w:pPr>
        <w:pStyle w:val="Corpodetexto"/>
        <w:numPr>
          <w:ilvl w:val="0"/>
          <w:numId w:val="40"/>
        </w:numPr>
        <w:tabs>
          <w:tab w:val="left" w:pos="280"/>
        </w:tabs>
        <w:kinsoku w:val="0"/>
        <w:overflowPunct w:val="0"/>
        <w:spacing w:line="360" w:lineRule="auto"/>
        <w:ind w:left="2095" w:right="-2" w:hanging="399"/>
        <w:rPr>
          <w:rFonts w:asciiTheme="minorHAnsi" w:hAnsiTheme="minorHAnsi" w:cstheme="minorHAnsi"/>
          <w:bCs w:val="0"/>
          <w:i w:val="0"/>
          <w:iCs w:val="0"/>
          <w:szCs w:val="22"/>
        </w:rPr>
      </w:pP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GEs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dos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CPPs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e </w:t>
      </w:r>
      <w:proofErr w:type="spellStart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AIPs</w:t>
      </w:r>
      <w:proofErr w:type="spellEnd"/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, SRE, DE e Operadores:</w:t>
      </w:r>
    </w:p>
    <w:p w:rsidR="00AC191D" w:rsidRPr="0082394C" w:rsidRDefault="00AC191D" w:rsidP="00A54198">
      <w:pPr>
        <w:pStyle w:val="Corpodetexto"/>
        <w:numPr>
          <w:ilvl w:val="1"/>
          <w:numId w:val="39"/>
        </w:numPr>
        <w:tabs>
          <w:tab w:val="left" w:pos="280"/>
        </w:tabs>
        <w:kinsoku w:val="0"/>
        <w:overflowPunct w:val="0"/>
        <w:spacing w:line="360" w:lineRule="auto"/>
        <w:ind w:left="2459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lastRenderedPageBreak/>
        <w:t>Relatórios Mensais de Análise da Produção de Óleo e Gás para cada contrato (a serem disponibilizados para o Operador de cada contrato, que será responsável pelo repasse aos Consorciados).</w:t>
      </w:r>
    </w:p>
    <w:p w:rsidR="00AC191D" w:rsidRPr="0082394C" w:rsidRDefault="00AC191D" w:rsidP="00A54198">
      <w:pPr>
        <w:pStyle w:val="Corpodetexto"/>
        <w:numPr>
          <w:ilvl w:val="0"/>
          <w:numId w:val="40"/>
        </w:numPr>
        <w:tabs>
          <w:tab w:val="left" w:pos="280"/>
        </w:tabs>
        <w:kinsoku w:val="0"/>
        <w:overflowPunct w:val="0"/>
        <w:spacing w:line="360" w:lineRule="auto"/>
        <w:ind w:left="2095" w:right="-2" w:hanging="399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SRE e DE:</w:t>
      </w:r>
    </w:p>
    <w:p w:rsidR="00AC191D" w:rsidRPr="0082394C" w:rsidRDefault="00AC191D" w:rsidP="00A54198">
      <w:pPr>
        <w:pStyle w:val="Corpodetexto"/>
        <w:numPr>
          <w:ilvl w:val="1"/>
          <w:numId w:val="39"/>
        </w:numPr>
        <w:tabs>
          <w:tab w:val="left" w:pos="280"/>
        </w:tabs>
        <w:kinsoku w:val="0"/>
        <w:overflowPunct w:val="0"/>
        <w:spacing w:line="360" w:lineRule="auto"/>
        <w:ind w:left="2459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Relatório Mensal Consolidado da Produção de Óleo e Gás de todos os contratos (para uso exclusivo e interno da </w:t>
      </w:r>
      <w:r w:rsidR="009460EA"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82394C">
        <w:rPr>
          <w:rFonts w:asciiTheme="minorHAnsi" w:hAnsiTheme="minorHAnsi" w:cstheme="minorHAnsi"/>
          <w:bCs w:val="0"/>
          <w:i w:val="0"/>
          <w:iCs w:val="0"/>
          <w:szCs w:val="22"/>
        </w:rPr>
        <w:t>).</w:t>
      </w:r>
    </w:p>
    <w:p w:rsidR="00AC191D" w:rsidRPr="0082394C" w:rsidRDefault="00AC191D" w:rsidP="00A54198">
      <w:pPr>
        <w:pStyle w:val="Corpodetexto"/>
        <w:tabs>
          <w:tab w:val="left" w:pos="280"/>
        </w:tabs>
        <w:kinsoku w:val="0"/>
        <w:overflowPunct w:val="0"/>
        <w:spacing w:line="360" w:lineRule="auto"/>
        <w:ind w:left="1009" w:right="-2"/>
        <w:rPr>
          <w:rFonts w:asciiTheme="minorHAnsi" w:hAnsiTheme="minorHAnsi" w:cstheme="minorHAnsi"/>
          <w:bCs w:val="0"/>
          <w:i w:val="0"/>
          <w:iCs w:val="0"/>
          <w:szCs w:val="22"/>
        </w:rPr>
      </w:pPr>
    </w:p>
    <w:p w:rsidR="00AC191D" w:rsidRPr="0082394C" w:rsidRDefault="00AC191D" w:rsidP="00A54198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Os relatórios mensais individuais para cada contrato e o relatório consolidado de todos os contratos serão configurados previamente no sistema, elaborados pela CACP, que através do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obterá todas as assinaturas eletrônicas nos níveis de aprovação cabíveis, armazenará vias digitais no sistema e fará a distribuição dos mesmos através do sistema para as interfaces definidas acima.</w:t>
      </w:r>
    </w:p>
    <w:p w:rsidR="00F43A06" w:rsidRPr="0082394C" w:rsidRDefault="00F43A06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4" w:name="_Toc492826312"/>
      <w:r w:rsidRPr="0082394C">
        <w:rPr>
          <w:b/>
          <w:sz w:val="22"/>
          <w:szCs w:val="22"/>
        </w:rPr>
        <w:t>Monitoramento do Processo</w:t>
      </w:r>
      <w:bookmarkEnd w:id="14"/>
    </w:p>
    <w:p w:rsidR="00F43A06" w:rsidRPr="0082394C" w:rsidRDefault="00F43A06" w:rsidP="000C6A5A">
      <w:pPr>
        <w:pStyle w:val="Style3"/>
        <w:numPr>
          <w:ilvl w:val="2"/>
          <w:numId w:val="2"/>
        </w:numPr>
        <w:ind w:left="1503" w:hanging="505"/>
        <w:rPr>
          <w:sz w:val="22"/>
          <w:szCs w:val="22"/>
        </w:rPr>
      </w:pPr>
      <w:r w:rsidRPr="0082394C">
        <w:rPr>
          <w:b/>
          <w:sz w:val="22"/>
          <w:szCs w:val="22"/>
        </w:rPr>
        <w:t>Monitoramento Gerencial (Indicadores de Performance do Processo):</w:t>
      </w:r>
    </w:p>
    <w:p w:rsidR="00A54198" w:rsidRPr="0082394C" w:rsidRDefault="00A54198" w:rsidP="00A54198">
      <w:pPr>
        <w:spacing w:line="360" w:lineRule="auto"/>
        <w:ind w:left="998" w:firstLine="289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O Processo de Monitoramento da Produção deve ser suportado por Indicadores de Performance do Processo, conforme detalhamento no Anexo III. O Modelo de Governança dos Processos prevê a sistematização desses indicadores com a realização do Ciclo periódico de acompanhamento dos indicadores que envolve os Comitês Diretivo, Executivo e de Especialistas com as seguintes atividades:</w:t>
      </w:r>
    </w:p>
    <w:p w:rsidR="00A54198" w:rsidRPr="0082394C" w:rsidRDefault="00A54198" w:rsidP="00A54198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Analista responsável pela gestão dos indicadores na Coordenação de Acompanhamento e Controle da Produção deve gerar os indicadores e enviá-los via e-mail para análise do Comitê Executivo e do Comitê de Especialistas;</w:t>
      </w:r>
    </w:p>
    <w:p w:rsidR="00A54198" w:rsidRPr="0082394C" w:rsidRDefault="00A54198" w:rsidP="00A54198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Comitê Executivo e Comitê de Especialistas devem avaliar os indicadores gerados para cada processo em reunião e aprovar o envio ao Comitê Diretivo; e</w:t>
      </w:r>
    </w:p>
    <w:p w:rsidR="00A54198" w:rsidRPr="0082394C" w:rsidRDefault="00A54198" w:rsidP="00A54198">
      <w:pPr>
        <w:pStyle w:val="PargrafodaLista"/>
        <w:numPr>
          <w:ilvl w:val="0"/>
          <w:numId w:val="7"/>
        </w:numPr>
        <w:tabs>
          <w:tab w:val="left" w:pos="1843"/>
        </w:tabs>
        <w:spacing w:line="360" w:lineRule="auto"/>
        <w:ind w:left="1647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 xml:space="preserve">Comitê Diretivo e Comitê Executivo devem avaliar os resultados em reunião e elaborar plano de ação para os desvios apresentados. Arquivar resultados no </w:t>
      </w:r>
      <w:r w:rsidR="009460EA" w:rsidRPr="0082394C">
        <w:rPr>
          <w:rFonts w:asciiTheme="minorHAnsi" w:hAnsiTheme="minorHAnsi" w:cstheme="minorHAnsi"/>
          <w:sz w:val="22"/>
          <w:szCs w:val="22"/>
        </w:rPr>
        <w:t>SGPP</w:t>
      </w:r>
      <w:r w:rsidRPr="0082394C">
        <w:rPr>
          <w:rFonts w:asciiTheme="minorHAnsi" w:hAnsiTheme="minorHAnsi" w:cstheme="minorHAnsi"/>
          <w:sz w:val="22"/>
          <w:szCs w:val="22"/>
        </w:rPr>
        <w:t xml:space="preserve"> ao final desse ciclo periódico.</w:t>
      </w:r>
    </w:p>
    <w:p w:rsidR="00A54198" w:rsidRPr="0082394C" w:rsidRDefault="00A54198" w:rsidP="00A54198">
      <w:pPr>
        <w:spacing w:line="360" w:lineRule="auto"/>
        <w:ind w:left="998" w:firstLine="289"/>
        <w:jc w:val="both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Os indicadores (detalhados no Anexo III deste documento) previstos para o processo de Monitoramento da Produção são:</w:t>
      </w:r>
    </w:p>
    <w:p w:rsidR="00A54198" w:rsidRPr="0082394C" w:rsidRDefault="00A54198" w:rsidP="00A54198">
      <w:pPr>
        <w:pStyle w:val="PargrafodaLista"/>
        <w:numPr>
          <w:ilvl w:val="0"/>
          <w:numId w:val="6"/>
        </w:numPr>
        <w:spacing w:after="200" w:line="360" w:lineRule="auto"/>
        <w:ind w:left="213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2394C">
        <w:rPr>
          <w:rFonts w:asciiTheme="minorHAnsi" w:hAnsiTheme="minorHAnsi" w:cstheme="minorHAnsi"/>
          <w:color w:val="000000" w:themeColor="text1"/>
          <w:sz w:val="22"/>
          <w:szCs w:val="22"/>
        </w:rPr>
        <w:t>Previsto x Realizado da Produção</w:t>
      </w:r>
    </w:p>
    <w:p w:rsidR="00183ED0" w:rsidRPr="0082394C" w:rsidRDefault="0082394C" w:rsidP="0082394C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5" w:name="_Toc492826313"/>
      <w:r w:rsidRPr="0082394C">
        <w:rPr>
          <w:b/>
          <w:sz w:val="22"/>
          <w:szCs w:val="22"/>
        </w:rPr>
        <w:lastRenderedPageBreak/>
        <w:t>Prazos</w:t>
      </w:r>
      <w:bookmarkEnd w:id="15"/>
    </w:p>
    <w:p w:rsidR="0082394C" w:rsidRDefault="0082394C" w:rsidP="0082394C">
      <w:pPr>
        <w:spacing w:line="360" w:lineRule="auto"/>
        <w:ind w:left="709" w:firstLine="363"/>
        <w:jc w:val="both"/>
        <w:rPr>
          <w:rFonts w:asciiTheme="minorHAnsi" w:hAnsiTheme="minorHAnsi" w:cstheme="minorHAnsi"/>
          <w:sz w:val="22"/>
          <w:szCs w:val="22"/>
        </w:rPr>
        <w:sectPr w:rsidR="0082394C" w:rsidSect="00042F73">
          <w:headerReference w:type="default" r:id="rId9"/>
          <w:footerReference w:type="default" r:id="rId10"/>
          <w:type w:val="continuous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  <w:r w:rsidRPr="0082394C">
        <w:rPr>
          <w:rFonts w:asciiTheme="minorHAnsi" w:hAnsiTheme="minorHAnsi" w:cstheme="minorHAnsi"/>
          <w:sz w:val="22"/>
          <w:szCs w:val="22"/>
        </w:rPr>
        <w:t>O Operador deverá carregar no SGPP mensalmente, até o 5º (quinto) dia útil de cada mês, com os dados da produção referentes ao mês imediatamente anterior, para os casos de CPP.</w:t>
      </w:r>
    </w:p>
    <w:p w:rsidR="005F1A77" w:rsidRDefault="007254CF" w:rsidP="0082394C">
      <w:pPr>
        <w:pStyle w:val="Style1"/>
        <w:rPr>
          <w:b/>
          <w:sz w:val="22"/>
          <w:szCs w:val="22"/>
        </w:rPr>
      </w:pPr>
      <w:bookmarkStart w:id="16" w:name="_Toc492826314"/>
      <w:r w:rsidRPr="0082394C">
        <w:rPr>
          <w:b/>
          <w:sz w:val="22"/>
          <w:szCs w:val="22"/>
        </w:rPr>
        <w:lastRenderedPageBreak/>
        <w:t>Índice de Revisões</w:t>
      </w:r>
      <w:bookmarkEnd w:id="16"/>
    </w:p>
    <w:tbl>
      <w:tblPr>
        <w:tblStyle w:val="Tabelacomgrade"/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852"/>
        <w:gridCol w:w="863"/>
        <w:gridCol w:w="863"/>
        <w:gridCol w:w="863"/>
        <w:gridCol w:w="863"/>
        <w:gridCol w:w="863"/>
        <w:gridCol w:w="863"/>
        <w:gridCol w:w="863"/>
        <w:gridCol w:w="863"/>
        <w:gridCol w:w="864"/>
      </w:tblGrid>
      <w:tr w:rsidR="0082394C" w:rsidRPr="00782700" w:rsidTr="00733A06">
        <w:trPr>
          <w:jc w:val="center"/>
        </w:trPr>
        <w:tc>
          <w:tcPr>
            <w:tcW w:w="9352" w:type="dxa"/>
            <w:gridSpan w:val="11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ÍNDICE DE REVISÕES</w:t>
            </w:r>
          </w:p>
        </w:tc>
      </w:tr>
      <w:tr w:rsidR="0082394C" w:rsidRPr="00C85FAF" w:rsidTr="00733A06">
        <w:trPr>
          <w:jc w:val="center"/>
        </w:trPr>
        <w:tc>
          <w:tcPr>
            <w:tcW w:w="732" w:type="dxa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REV.</w:t>
            </w:r>
          </w:p>
        </w:tc>
        <w:tc>
          <w:tcPr>
            <w:tcW w:w="8620" w:type="dxa"/>
            <w:gridSpan w:val="10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DESCRIÇÃO</w:t>
            </w:r>
          </w:p>
        </w:tc>
      </w:tr>
      <w:tr w:rsidR="0082394C" w:rsidRPr="00C85FAF" w:rsidTr="00733A06">
        <w:trPr>
          <w:jc w:val="center"/>
        </w:trPr>
        <w:tc>
          <w:tcPr>
            <w:tcW w:w="732" w:type="dxa"/>
            <w:tcBorders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8620" w:type="dxa"/>
            <w:gridSpan w:val="10"/>
            <w:tcBorders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Original</w:t>
            </w:r>
          </w:p>
        </w:tc>
      </w:tr>
      <w:tr w:rsidR="0082394C" w:rsidRPr="00C85FAF" w:rsidTr="00733A06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2394C" w:rsidRPr="00C85FAF" w:rsidTr="00733A06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2394C" w:rsidRPr="00C85FAF" w:rsidTr="00733A06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2394C" w:rsidRPr="00C85FAF" w:rsidTr="00733A06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2394C" w:rsidRPr="00C85FAF" w:rsidTr="00733A06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</w:tcBorders>
          </w:tcPr>
          <w:p w:rsidR="0082394C" w:rsidRPr="00C85FAF" w:rsidRDefault="0082394C" w:rsidP="00733A0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2394C" w:rsidRPr="00C85FAF" w:rsidTr="00733A06">
        <w:trPr>
          <w:jc w:val="center"/>
        </w:trPr>
        <w:tc>
          <w:tcPr>
            <w:tcW w:w="1584" w:type="dxa"/>
            <w:gridSpan w:val="2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ORIGINAL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1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2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3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4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5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REV.61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7</w:t>
            </w:r>
          </w:p>
        </w:tc>
        <w:tc>
          <w:tcPr>
            <w:tcW w:w="864" w:type="dxa"/>
            <w:vAlign w:val="center"/>
          </w:tcPr>
          <w:p w:rsidR="0082394C" w:rsidRPr="00C85FAF" w:rsidRDefault="0082394C" w:rsidP="00733A0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8</w:t>
            </w:r>
          </w:p>
        </w:tc>
      </w:tr>
      <w:tr w:rsidR="0082394C" w:rsidRPr="00C85FAF" w:rsidTr="00733A06">
        <w:trPr>
          <w:jc w:val="center"/>
        </w:trPr>
        <w:tc>
          <w:tcPr>
            <w:tcW w:w="1584" w:type="dxa"/>
            <w:gridSpan w:val="2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DATA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2394C" w:rsidRPr="00C85FAF" w:rsidTr="00733A06">
        <w:trPr>
          <w:jc w:val="center"/>
        </w:trPr>
        <w:tc>
          <w:tcPr>
            <w:tcW w:w="1584" w:type="dxa"/>
            <w:gridSpan w:val="2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ELABORADO POR: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2394C" w:rsidRPr="00C85FAF" w:rsidTr="00733A06">
        <w:trPr>
          <w:jc w:val="center"/>
        </w:trPr>
        <w:tc>
          <w:tcPr>
            <w:tcW w:w="1584" w:type="dxa"/>
            <w:gridSpan w:val="2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REVISADO POR: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2394C" w:rsidRPr="00C85FAF" w:rsidTr="00733A06">
        <w:trPr>
          <w:jc w:val="center"/>
        </w:trPr>
        <w:tc>
          <w:tcPr>
            <w:tcW w:w="1584" w:type="dxa"/>
            <w:gridSpan w:val="2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APROVADO POR:</w:t>
            </w: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82394C" w:rsidRPr="00C85FAF" w:rsidRDefault="0082394C" w:rsidP="00733A0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2394C" w:rsidRPr="0082394C" w:rsidRDefault="0082394C" w:rsidP="0082394C">
      <w:pPr>
        <w:pStyle w:val="Style1"/>
        <w:numPr>
          <w:ilvl w:val="0"/>
          <w:numId w:val="0"/>
        </w:numPr>
        <w:ind w:left="278"/>
        <w:rPr>
          <w:b/>
          <w:sz w:val="22"/>
          <w:szCs w:val="22"/>
        </w:rPr>
      </w:pPr>
    </w:p>
    <w:p w:rsidR="00507F62" w:rsidRPr="0082394C" w:rsidRDefault="00507F62" w:rsidP="00821A62">
      <w:pPr>
        <w:pStyle w:val="Body"/>
        <w:spacing w:line="240" w:lineRule="auto"/>
        <w:ind w:left="426"/>
        <w:rPr>
          <w:rFonts w:eastAsia="Times New Roman" w:cstheme="minorHAnsi"/>
          <w:lang w:eastAsia="pt-BR"/>
        </w:rPr>
      </w:pPr>
    </w:p>
    <w:p w:rsidR="00F43A06" w:rsidRPr="0082394C" w:rsidRDefault="00F43A0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br w:type="page"/>
      </w: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  <w:sectPr w:rsidR="00502A6A" w:rsidRPr="0082394C" w:rsidSect="0082394C">
          <w:footerReference w:type="default" r:id="rId11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82394C" w:rsidRPr="00971F7E" w:rsidRDefault="00484A4B" w:rsidP="0082394C">
      <w:pPr>
        <w:pStyle w:val="Style1"/>
        <w:rPr>
          <w:b/>
          <w:sz w:val="22"/>
        </w:rPr>
      </w:pPr>
      <w:bookmarkStart w:id="17" w:name="_Toc492826315"/>
      <w:r w:rsidRPr="00971F7E">
        <w:rPr>
          <w:b/>
          <w:sz w:val="22"/>
        </w:rPr>
        <w:t>Anexo</w:t>
      </w:r>
      <w:r w:rsidR="0082394C" w:rsidRPr="00971F7E">
        <w:rPr>
          <w:b/>
          <w:sz w:val="22"/>
        </w:rPr>
        <w:t>s</w:t>
      </w:r>
      <w:bookmarkEnd w:id="17"/>
    </w:p>
    <w:p w:rsidR="00484A4B" w:rsidRPr="00971F7E" w:rsidRDefault="0082394C" w:rsidP="0082394C">
      <w:pPr>
        <w:pStyle w:val="Style2"/>
        <w:numPr>
          <w:ilvl w:val="1"/>
          <w:numId w:val="2"/>
        </w:numPr>
        <w:rPr>
          <w:b/>
          <w:sz w:val="22"/>
        </w:rPr>
      </w:pPr>
      <w:bookmarkStart w:id="18" w:name="_Toc492826316"/>
      <w:r w:rsidRPr="00971F7E">
        <w:rPr>
          <w:b/>
          <w:sz w:val="22"/>
        </w:rPr>
        <w:t xml:space="preserve">Anexo I - </w:t>
      </w:r>
      <w:r w:rsidR="00484A4B" w:rsidRPr="00971F7E">
        <w:rPr>
          <w:b/>
          <w:sz w:val="22"/>
        </w:rPr>
        <w:t>Padrão de Processo</w:t>
      </w:r>
      <w:bookmarkEnd w:id="18"/>
    </w:p>
    <w:p w:rsidR="002676C2" w:rsidRPr="0082394C" w:rsidRDefault="00A54198" w:rsidP="0082394C">
      <w:pPr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277116E7" wp14:editId="38886D84">
            <wp:extent cx="9320530" cy="2602783"/>
            <wp:effectExtent l="19050" t="19050" r="13970" b="266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530" cy="260278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F113BE" w:rsidRPr="0082394C" w:rsidRDefault="00244CA1" w:rsidP="00502A6A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0"/>
          <w:szCs w:val="22"/>
        </w:rPr>
        <w:t xml:space="preserve">Figura 2: </w:t>
      </w:r>
      <w:r w:rsidR="002676C2" w:rsidRPr="0082394C">
        <w:rPr>
          <w:rFonts w:asciiTheme="minorHAnsi" w:hAnsiTheme="minorHAnsi" w:cstheme="minorHAnsi"/>
          <w:sz w:val="20"/>
          <w:szCs w:val="22"/>
        </w:rPr>
        <w:t>Macrofluxograma do Processo</w:t>
      </w:r>
    </w:p>
    <w:p w:rsidR="00985AAB" w:rsidRPr="0082394C" w:rsidRDefault="00985AAB" w:rsidP="00502A6A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F43A06" w:rsidRPr="0082394C" w:rsidRDefault="00F43A06" w:rsidP="006009D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B34CB7" w:rsidRPr="0082394C" w:rsidRDefault="00B34CB7" w:rsidP="007254CF">
      <w:pPr>
        <w:pStyle w:val="Style1"/>
        <w:numPr>
          <w:ilvl w:val="0"/>
          <w:numId w:val="0"/>
        </w:numPr>
        <w:rPr>
          <w:b/>
          <w:sz w:val="22"/>
          <w:szCs w:val="22"/>
        </w:rPr>
      </w:pPr>
    </w:p>
    <w:p w:rsidR="00484A4B" w:rsidRPr="00971F7E" w:rsidRDefault="0082394C" w:rsidP="0082394C">
      <w:pPr>
        <w:pStyle w:val="Style2"/>
        <w:numPr>
          <w:ilvl w:val="1"/>
          <w:numId w:val="2"/>
        </w:numPr>
        <w:rPr>
          <w:b/>
          <w:sz w:val="22"/>
        </w:rPr>
      </w:pPr>
      <w:bookmarkStart w:id="19" w:name="_Toc492826317"/>
      <w:r w:rsidRPr="00971F7E">
        <w:rPr>
          <w:b/>
          <w:sz w:val="22"/>
        </w:rPr>
        <w:t xml:space="preserve">Anexo II - </w:t>
      </w:r>
      <w:r w:rsidR="00484A4B" w:rsidRPr="00971F7E">
        <w:rPr>
          <w:b/>
          <w:sz w:val="22"/>
        </w:rPr>
        <w:t>Matriz de Papéis e Responsabilidades</w:t>
      </w:r>
      <w:bookmarkEnd w:id="19"/>
    </w:p>
    <w:p w:rsidR="00130A65" w:rsidRPr="0082394C" w:rsidRDefault="00A54198" w:rsidP="0082394C">
      <w:pPr>
        <w:rPr>
          <w:rFonts w:asciiTheme="minorHAnsi" w:hAnsiTheme="minorHAnsi" w:cstheme="minorHAnsi"/>
          <w:noProof/>
          <w:sz w:val="22"/>
          <w:szCs w:val="22"/>
        </w:rPr>
      </w:pPr>
      <w:r w:rsidRPr="0082394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2B2DFA0" wp14:editId="1339BE64">
            <wp:extent cx="2792897" cy="3200400"/>
            <wp:effectExtent l="19050" t="19050" r="26670" b="190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51257" t="22171" r="18547" b="16284"/>
                    <a:stretch/>
                  </pic:blipFill>
                  <pic:spPr bwMode="auto">
                    <a:xfrm>
                      <a:off x="0" y="0"/>
                      <a:ext cx="2829501" cy="3242345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0A65" w:rsidRPr="0082394C" w:rsidRDefault="00244CA1" w:rsidP="00502A6A">
      <w:pPr>
        <w:spacing w:after="160" w:line="259" w:lineRule="auto"/>
        <w:rPr>
          <w:rFonts w:asciiTheme="minorHAnsi" w:hAnsiTheme="minorHAnsi" w:cstheme="minorHAnsi"/>
          <w:sz w:val="20"/>
          <w:szCs w:val="22"/>
        </w:rPr>
      </w:pPr>
      <w:r w:rsidRPr="0082394C">
        <w:rPr>
          <w:rFonts w:asciiTheme="minorHAnsi" w:hAnsiTheme="minorHAnsi" w:cstheme="minorHAnsi"/>
          <w:sz w:val="20"/>
          <w:szCs w:val="22"/>
        </w:rPr>
        <w:t>Figura 3:</w:t>
      </w:r>
      <w:r w:rsidR="00502A6A" w:rsidRPr="0082394C">
        <w:rPr>
          <w:rFonts w:asciiTheme="minorHAnsi" w:hAnsiTheme="minorHAnsi" w:cstheme="minorHAnsi"/>
          <w:sz w:val="20"/>
          <w:szCs w:val="22"/>
        </w:rPr>
        <w:t xml:space="preserve"> Matriz d</w:t>
      </w:r>
      <w:r w:rsidR="002676C2" w:rsidRPr="0082394C">
        <w:rPr>
          <w:rFonts w:asciiTheme="minorHAnsi" w:hAnsiTheme="minorHAnsi" w:cstheme="minorHAnsi"/>
          <w:sz w:val="20"/>
          <w:szCs w:val="22"/>
        </w:rPr>
        <w:t>e Papéis e Responsabilidades</w:t>
      </w:r>
      <w:r w:rsidR="00C655D0" w:rsidRPr="0082394C">
        <w:rPr>
          <w:rFonts w:asciiTheme="minorHAnsi" w:hAnsiTheme="minorHAnsi" w:cstheme="minorHAnsi"/>
          <w:sz w:val="20"/>
          <w:szCs w:val="22"/>
        </w:rPr>
        <w:t xml:space="preserve"> do Processo</w:t>
      </w:r>
    </w:p>
    <w:p w:rsidR="00821A62" w:rsidRPr="0082394C" w:rsidRDefault="00821A62" w:rsidP="00502A6A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6009D6" w:rsidRPr="0082394C" w:rsidRDefault="006009D6" w:rsidP="00502A6A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F113BE" w:rsidRPr="0082394C" w:rsidRDefault="00F113BE" w:rsidP="00502A6A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484A4B" w:rsidRPr="00971F7E" w:rsidRDefault="00971F7E" w:rsidP="00971F7E">
      <w:pPr>
        <w:pStyle w:val="Style2"/>
        <w:numPr>
          <w:ilvl w:val="1"/>
          <w:numId w:val="2"/>
        </w:numPr>
        <w:rPr>
          <w:b/>
          <w:sz w:val="22"/>
        </w:rPr>
      </w:pPr>
      <w:bookmarkStart w:id="20" w:name="_Toc492826318"/>
      <w:r w:rsidRPr="00971F7E">
        <w:rPr>
          <w:b/>
          <w:sz w:val="22"/>
        </w:rPr>
        <w:t xml:space="preserve">Anexo III - </w:t>
      </w:r>
      <w:r w:rsidR="00484A4B" w:rsidRPr="00971F7E">
        <w:rPr>
          <w:b/>
          <w:sz w:val="22"/>
        </w:rPr>
        <w:t>Indicadores de Performance do Processo</w:t>
      </w:r>
      <w:bookmarkEnd w:id="20"/>
    </w:p>
    <w:p w:rsidR="00130A65" w:rsidRPr="0082394C" w:rsidRDefault="00A54198" w:rsidP="00C655D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9320530" cy="880241"/>
            <wp:effectExtent l="19050" t="19050" r="13970" b="152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530" cy="88024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655D0" w:rsidRPr="0082394C" w:rsidRDefault="00244CA1" w:rsidP="00C655D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t>Figura 4:</w:t>
      </w:r>
      <w:r w:rsidR="00C655D0" w:rsidRPr="0082394C">
        <w:rPr>
          <w:rFonts w:asciiTheme="minorHAnsi" w:hAnsiTheme="minorHAnsi" w:cstheme="minorHAnsi"/>
          <w:sz w:val="22"/>
          <w:szCs w:val="22"/>
        </w:rPr>
        <w:t xml:space="preserve"> Indicadores de Performance do Processo</w:t>
      </w:r>
    </w:p>
    <w:p w:rsidR="00821A62" w:rsidRPr="0082394C" w:rsidRDefault="00821A62" w:rsidP="00C655D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43A06" w:rsidRPr="0082394C" w:rsidRDefault="00F43A06" w:rsidP="00C655D0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82394C">
        <w:rPr>
          <w:rFonts w:asciiTheme="minorHAnsi" w:hAnsiTheme="minorHAnsi" w:cstheme="minorHAnsi"/>
          <w:sz w:val="22"/>
          <w:szCs w:val="22"/>
        </w:rPr>
        <w:br w:type="page"/>
      </w: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82394C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484A4B" w:rsidRPr="00971F7E" w:rsidRDefault="00971F7E" w:rsidP="00971F7E">
      <w:pPr>
        <w:pStyle w:val="Style2"/>
        <w:numPr>
          <w:ilvl w:val="1"/>
          <w:numId w:val="2"/>
        </w:numPr>
        <w:rPr>
          <w:b/>
          <w:sz w:val="22"/>
        </w:rPr>
      </w:pPr>
      <w:bookmarkStart w:id="21" w:name="_Toc492826319"/>
      <w:r w:rsidRPr="00971F7E">
        <w:rPr>
          <w:b/>
          <w:sz w:val="22"/>
        </w:rPr>
        <w:t xml:space="preserve">Anexo IV - </w:t>
      </w:r>
      <w:r w:rsidR="00484A4B" w:rsidRPr="00971F7E">
        <w:rPr>
          <w:b/>
          <w:sz w:val="22"/>
        </w:rPr>
        <w:t>Mapa de Interface dos Processos</w:t>
      </w:r>
      <w:bookmarkEnd w:id="21"/>
    </w:p>
    <w:p w:rsidR="00B34CB7" w:rsidRPr="0082394C" w:rsidRDefault="00B34CB7" w:rsidP="00971F7E">
      <w:pPr>
        <w:rPr>
          <w:rFonts w:ascii="Univers for KPMG" w:hAnsi="Univers for KPMG"/>
          <w:sz w:val="22"/>
          <w:szCs w:val="22"/>
        </w:rPr>
      </w:pPr>
      <w:r w:rsidRPr="0082394C">
        <w:rPr>
          <w:noProof/>
          <w:sz w:val="22"/>
          <w:szCs w:val="22"/>
        </w:rPr>
        <w:drawing>
          <wp:inline distT="0" distB="0" distL="0" distR="0" wp14:anchorId="6347019E" wp14:editId="3615F7A5">
            <wp:extent cx="6094821" cy="3276600"/>
            <wp:effectExtent l="19050" t="19050" r="20320" b="190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3271" t="9997" r="2610"/>
                    <a:stretch/>
                  </pic:blipFill>
                  <pic:spPr bwMode="auto">
                    <a:xfrm>
                      <a:off x="0" y="0"/>
                      <a:ext cx="6109829" cy="328466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4CB7" w:rsidRPr="00971F7E" w:rsidRDefault="00B34CB7" w:rsidP="00B34CB7">
      <w:pPr>
        <w:pStyle w:val="Body"/>
        <w:spacing w:before="0" w:line="240" w:lineRule="auto"/>
        <w:rPr>
          <w:rFonts w:cstheme="minorHAnsi"/>
          <w:sz w:val="20"/>
        </w:rPr>
      </w:pPr>
      <w:r w:rsidRPr="00971F7E">
        <w:rPr>
          <w:rFonts w:cstheme="minorHAnsi"/>
          <w:sz w:val="20"/>
        </w:rPr>
        <w:t>Figura 5: Mapa de Interface dos Processos</w:t>
      </w:r>
    </w:p>
    <w:p w:rsidR="006009D6" w:rsidRPr="0082394C" w:rsidRDefault="006009D6" w:rsidP="00B34CB7">
      <w:pPr>
        <w:pStyle w:val="Body"/>
        <w:spacing w:before="0" w:line="240" w:lineRule="auto"/>
        <w:rPr>
          <w:rFonts w:cstheme="minorHAnsi"/>
        </w:rPr>
      </w:pPr>
      <w:bookmarkStart w:id="22" w:name="_GoBack"/>
      <w:bookmarkEnd w:id="22"/>
    </w:p>
    <w:sectPr w:rsidR="006009D6" w:rsidRPr="0082394C" w:rsidSect="00042F73">
      <w:footerReference w:type="default" r:id="rId16"/>
      <w:type w:val="continuous"/>
      <w:pgSz w:w="16838" w:h="11906" w:orient="landscape"/>
      <w:pgMar w:top="1440" w:right="1080" w:bottom="1440" w:left="108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F5" w:rsidRDefault="00095EF5" w:rsidP="008D2702">
      <w:r>
        <w:separator/>
      </w:r>
    </w:p>
  </w:endnote>
  <w:endnote w:type="continuationSeparator" w:id="0">
    <w:p w:rsidR="00095EF5" w:rsidRDefault="00095EF5" w:rsidP="008D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nivers for KPMG">
    <w:altName w:val="Trebuchet MS"/>
    <w:charset w:val="00"/>
    <w:family w:val="swiss"/>
    <w:pitch w:val="variable"/>
    <w:sig w:usb0="00000001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CA1" w:rsidRPr="006E4A1B" w:rsidRDefault="00244CA1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3105FC">
      <w:rPr>
        <w:rFonts w:asciiTheme="minorHAnsi" w:hAnsiTheme="minorHAnsi"/>
        <w:noProof/>
        <w:sz w:val="20"/>
      </w:rPr>
      <w:t>12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3105FC">
      <w:rPr>
        <w:rFonts w:asciiTheme="minorHAnsi" w:hAnsiTheme="minorHAnsi"/>
        <w:noProof/>
        <w:sz w:val="20"/>
      </w:rPr>
      <w:t>17</w:t>
    </w:r>
    <w:r w:rsidRPr="006E4A1B">
      <w:rPr>
        <w:rFonts w:asciiTheme="minorHAnsi" w:hAnsiTheme="minorHAnsi"/>
        <w:sz w:val="20"/>
      </w:rPr>
      <w:fldChar w:fldCharType="end"/>
    </w:r>
  </w:p>
  <w:p w:rsidR="00244CA1" w:rsidRDefault="00244CA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637" w:type="dxa"/>
      <w:jc w:val="center"/>
      <w:tblLook w:val="04A0" w:firstRow="1" w:lastRow="0" w:firstColumn="1" w:lastColumn="0" w:noHBand="0" w:noVBand="1"/>
    </w:tblPr>
    <w:tblGrid>
      <w:gridCol w:w="2879"/>
      <w:gridCol w:w="2879"/>
      <w:gridCol w:w="2879"/>
    </w:tblGrid>
    <w:tr w:rsidR="00922A9F" w:rsidTr="006E53DC">
      <w:trPr>
        <w:jc w:val="center"/>
      </w:trPr>
      <w:tc>
        <w:tcPr>
          <w:tcW w:w="2879" w:type="dxa"/>
        </w:tcPr>
        <w:p w:rsidR="00922A9F" w:rsidRDefault="00922A9F" w:rsidP="00922A9F">
          <w:pPr>
            <w:pStyle w:val="Rodap"/>
            <w:rPr>
              <w:rFonts w:asciiTheme="minorHAnsi" w:hAnsiTheme="minorHAnsi"/>
              <w:b/>
              <w:sz w:val="20"/>
            </w:rPr>
          </w:pPr>
          <w:r w:rsidRPr="00C7010C">
            <w:rPr>
              <w:rFonts w:asciiTheme="minorHAnsi" w:hAnsiTheme="minorHAnsi"/>
              <w:b/>
              <w:sz w:val="20"/>
            </w:rPr>
            <w:t>Elaborado por:</w:t>
          </w:r>
        </w:p>
        <w:p w:rsidR="00922A9F" w:rsidRDefault="00922A9F" w:rsidP="00922A9F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922A9F" w:rsidRDefault="00922A9F" w:rsidP="00922A9F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Júlia Costa</w:t>
          </w:r>
        </w:p>
        <w:p w:rsidR="00922A9F" w:rsidRDefault="00922A9F" w:rsidP="00922A9F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 xml:space="preserve">Coord. </w:t>
          </w:r>
          <w:proofErr w:type="spellStart"/>
          <w:r>
            <w:rPr>
              <w:rFonts w:asciiTheme="minorHAnsi" w:hAnsiTheme="minorHAnsi"/>
              <w:sz w:val="20"/>
            </w:rPr>
            <w:t>Acomp</w:t>
          </w:r>
          <w:proofErr w:type="spellEnd"/>
          <w:r>
            <w:rPr>
              <w:rFonts w:asciiTheme="minorHAnsi" w:hAnsiTheme="minorHAnsi"/>
              <w:sz w:val="20"/>
            </w:rPr>
            <w:t xml:space="preserve">. Contr. </w:t>
          </w:r>
          <w:proofErr w:type="spellStart"/>
          <w:r>
            <w:rPr>
              <w:rFonts w:asciiTheme="minorHAnsi" w:hAnsiTheme="minorHAnsi"/>
              <w:sz w:val="20"/>
            </w:rPr>
            <w:t>da</w:t>
          </w:r>
          <w:proofErr w:type="spellEnd"/>
          <w:r>
            <w:rPr>
              <w:rFonts w:asciiTheme="minorHAnsi" w:hAnsiTheme="minorHAnsi"/>
              <w:sz w:val="20"/>
            </w:rPr>
            <w:t xml:space="preserve"> Prod.</w:t>
          </w:r>
        </w:p>
      </w:tc>
      <w:tc>
        <w:tcPr>
          <w:tcW w:w="2879" w:type="dxa"/>
        </w:tcPr>
        <w:p w:rsidR="00922A9F" w:rsidRDefault="00922A9F" w:rsidP="00922A9F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Revisado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</w:p>
        <w:p w:rsidR="00922A9F" w:rsidRDefault="00922A9F" w:rsidP="00922A9F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922A9F" w:rsidRDefault="00922A9F" w:rsidP="00922A9F">
          <w:pPr>
            <w:pStyle w:val="Rodap"/>
            <w:rPr>
              <w:rFonts w:asciiTheme="minorHAnsi" w:hAnsiTheme="minorHAnsi"/>
              <w:sz w:val="20"/>
            </w:rPr>
          </w:pPr>
          <w:r w:rsidRPr="009460EA">
            <w:rPr>
              <w:rFonts w:asciiTheme="minorHAnsi" w:hAnsiTheme="minorHAnsi"/>
              <w:sz w:val="20"/>
            </w:rPr>
            <w:t>Luiz</w:t>
          </w:r>
          <w:r>
            <w:rPr>
              <w:rFonts w:asciiTheme="minorHAnsi" w:hAnsiTheme="minorHAnsi"/>
              <w:sz w:val="20"/>
            </w:rPr>
            <w:t xml:space="preserve"> Guilherme dos Santos</w:t>
          </w:r>
        </w:p>
        <w:p w:rsidR="00922A9F" w:rsidRDefault="00922A9F" w:rsidP="00922A9F">
          <w:pPr>
            <w:pStyle w:val="Rodap"/>
            <w:rPr>
              <w:rFonts w:asciiTheme="minorHAnsi" w:hAnsiTheme="minorHAnsi"/>
              <w:sz w:val="20"/>
            </w:rPr>
          </w:pPr>
          <w:proofErr w:type="spellStart"/>
          <w:r>
            <w:rPr>
              <w:rFonts w:asciiTheme="minorHAnsi" w:hAnsiTheme="minorHAnsi"/>
              <w:sz w:val="20"/>
            </w:rPr>
            <w:t>Superint</w:t>
          </w:r>
          <w:proofErr w:type="spellEnd"/>
          <w:r>
            <w:rPr>
              <w:rFonts w:asciiTheme="minorHAnsi" w:hAnsiTheme="minorHAnsi"/>
              <w:sz w:val="20"/>
            </w:rPr>
            <w:t xml:space="preserve">. </w:t>
          </w:r>
          <w:proofErr w:type="gramStart"/>
          <w:r>
            <w:rPr>
              <w:rFonts w:asciiTheme="minorHAnsi" w:hAnsiTheme="minorHAnsi"/>
              <w:sz w:val="20"/>
            </w:rPr>
            <w:t>de</w:t>
          </w:r>
          <w:proofErr w:type="gramEnd"/>
          <w:r>
            <w:rPr>
              <w:rFonts w:asciiTheme="minorHAnsi" w:hAnsiTheme="minorHAnsi"/>
              <w:sz w:val="20"/>
            </w:rPr>
            <w:t xml:space="preserve"> </w:t>
          </w:r>
          <w:proofErr w:type="spellStart"/>
          <w:r>
            <w:rPr>
              <w:rFonts w:asciiTheme="minorHAnsi" w:hAnsiTheme="minorHAnsi"/>
              <w:sz w:val="20"/>
            </w:rPr>
            <w:t>Desenv</w:t>
          </w:r>
          <w:proofErr w:type="spellEnd"/>
          <w:r>
            <w:rPr>
              <w:rFonts w:asciiTheme="minorHAnsi" w:hAnsiTheme="minorHAnsi"/>
              <w:sz w:val="20"/>
            </w:rPr>
            <w:t xml:space="preserve">. </w:t>
          </w:r>
          <w:proofErr w:type="gramStart"/>
          <w:r>
            <w:rPr>
              <w:rFonts w:asciiTheme="minorHAnsi" w:hAnsiTheme="minorHAnsi"/>
              <w:sz w:val="20"/>
            </w:rPr>
            <w:t>e</w:t>
          </w:r>
          <w:proofErr w:type="gramEnd"/>
          <w:r>
            <w:rPr>
              <w:rFonts w:asciiTheme="minorHAnsi" w:hAnsiTheme="minorHAnsi"/>
              <w:sz w:val="20"/>
            </w:rPr>
            <w:t xml:space="preserve"> Produção</w:t>
          </w:r>
        </w:p>
      </w:tc>
      <w:tc>
        <w:tcPr>
          <w:tcW w:w="2879" w:type="dxa"/>
        </w:tcPr>
        <w:p w:rsidR="00922A9F" w:rsidRDefault="00922A9F" w:rsidP="00922A9F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Aprovado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  <w:r>
            <w:rPr>
              <w:rFonts w:asciiTheme="minorHAnsi" w:hAnsiTheme="minorHAnsi"/>
              <w:sz w:val="20"/>
            </w:rPr>
            <w:t xml:space="preserve"> </w:t>
          </w:r>
        </w:p>
        <w:p w:rsidR="00922A9F" w:rsidRDefault="00922A9F" w:rsidP="00922A9F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922A9F" w:rsidRDefault="00922A9F" w:rsidP="00922A9F">
          <w:pPr>
            <w:pStyle w:val="Rodap"/>
            <w:rPr>
              <w:rFonts w:asciiTheme="minorHAnsi" w:hAnsiTheme="minorHAnsi"/>
              <w:sz w:val="20"/>
            </w:rPr>
          </w:pPr>
          <w:r w:rsidRPr="009460EA">
            <w:rPr>
              <w:rFonts w:asciiTheme="minorHAnsi" w:hAnsiTheme="minorHAnsi"/>
              <w:sz w:val="20"/>
            </w:rPr>
            <w:t>Paulo Carvalho</w:t>
          </w:r>
        </w:p>
        <w:p w:rsidR="00922A9F" w:rsidRPr="00C7010C" w:rsidRDefault="00922A9F" w:rsidP="00922A9F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sz w:val="20"/>
            </w:rPr>
            <w:t>Diretor Técnico e de Fiscalização</w:t>
          </w:r>
        </w:p>
      </w:tc>
    </w:tr>
  </w:tbl>
  <w:p w:rsidR="0082394C" w:rsidRPr="006E4A1B" w:rsidRDefault="0082394C" w:rsidP="0082394C">
    <w:pPr>
      <w:pStyle w:val="Rodap"/>
      <w:spacing w:before="120" w:after="120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3105FC">
      <w:rPr>
        <w:rFonts w:asciiTheme="minorHAnsi" w:hAnsiTheme="minorHAnsi"/>
        <w:noProof/>
        <w:sz w:val="20"/>
      </w:rPr>
      <w:t>13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3105FC">
      <w:rPr>
        <w:rFonts w:asciiTheme="minorHAnsi" w:hAnsiTheme="minorHAnsi"/>
        <w:noProof/>
        <w:sz w:val="20"/>
      </w:rPr>
      <w:t>17</w:t>
    </w:r>
    <w:r w:rsidRPr="006E4A1B">
      <w:rPr>
        <w:rFonts w:asciiTheme="minorHAnsi" w:hAnsiTheme="minorHAnsi"/>
        <w:sz w:val="20"/>
      </w:rPr>
      <w:fldChar w:fldCharType="end"/>
    </w:r>
  </w:p>
  <w:p w:rsidR="0082394C" w:rsidRDefault="0082394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CA1" w:rsidRPr="006E4A1B" w:rsidRDefault="00244CA1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3105FC">
      <w:rPr>
        <w:rFonts w:asciiTheme="minorHAnsi" w:hAnsiTheme="minorHAnsi"/>
        <w:noProof/>
        <w:sz w:val="20"/>
      </w:rPr>
      <w:t>16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3105FC">
      <w:rPr>
        <w:rFonts w:asciiTheme="minorHAnsi" w:hAnsiTheme="minorHAnsi"/>
        <w:noProof/>
        <w:sz w:val="20"/>
      </w:rPr>
      <w:t>17</w:t>
    </w:r>
    <w:r w:rsidRPr="006E4A1B">
      <w:rPr>
        <w:rFonts w:asciiTheme="minorHAnsi" w:hAnsiTheme="minorHAnsi"/>
        <w:sz w:val="20"/>
      </w:rPr>
      <w:fldChar w:fldCharType="end"/>
    </w:r>
  </w:p>
  <w:p w:rsidR="00244CA1" w:rsidRDefault="00244CA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F5" w:rsidRDefault="00095EF5" w:rsidP="008D2702">
      <w:r>
        <w:separator/>
      </w:r>
    </w:p>
  </w:footnote>
  <w:footnote w:type="continuationSeparator" w:id="0">
    <w:p w:rsidR="00095EF5" w:rsidRDefault="00095EF5" w:rsidP="008D2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page" w:tblpXSpec="center" w:tblpY="572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79"/>
      <w:gridCol w:w="4876"/>
      <w:gridCol w:w="1139"/>
      <w:gridCol w:w="1738"/>
    </w:tblGrid>
    <w:tr w:rsidR="00244CA1" w:rsidRPr="008D2702" w:rsidTr="006009D6">
      <w:trPr>
        <w:trHeight w:hRule="exact" w:val="1134"/>
      </w:trPr>
      <w:tc>
        <w:tcPr>
          <w:tcW w:w="2479" w:type="dxa"/>
          <w:vMerge w:val="restart"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278" w:lineRule="exact"/>
            <w:jc w:val="center"/>
            <w:rPr>
              <w:rFonts w:asciiTheme="majorHAnsi" w:hAnsiTheme="majorHAnsi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669AB6" wp14:editId="7F4A2D3A">
                <wp:simplePos x="0" y="0"/>
                <wp:positionH relativeFrom="column">
                  <wp:posOffset>340360</wp:posOffset>
                </wp:positionH>
                <wp:positionV relativeFrom="paragraph">
                  <wp:posOffset>9525</wp:posOffset>
                </wp:positionV>
                <wp:extent cx="793750" cy="1123315"/>
                <wp:effectExtent l="0" t="0" r="6350" b="635"/>
                <wp:wrapSquare wrapText="bothSides"/>
                <wp:docPr id="8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PSA_vertical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750" cy="1123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  <w:vMerge w:val="restart"/>
          <w:shd w:val="clear" w:color="auto" w:fill="auto"/>
          <w:tcMar>
            <w:left w:w="0" w:type="dxa"/>
            <w:right w:w="0" w:type="dxa"/>
          </w:tcMar>
          <w:vAlign w:val="center"/>
        </w:tcPr>
        <w:p w:rsidR="00EC67F7" w:rsidRDefault="0082394C" w:rsidP="00355C38">
          <w:pPr>
            <w:jc w:val="center"/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</w:pPr>
          <w:r w:rsidRPr="00EC67F7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 xml:space="preserve">PROCEDIMENTO DE MONITORAMENTO DA </w:t>
          </w:r>
        </w:p>
        <w:p w:rsidR="00244CA1" w:rsidRPr="00567994" w:rsidRDefault="0082394C" w:rsidP="00355C38">
          <w:pPr>
            <w:jc w:val="center"/>
            <w:rPr>
              <w:rFonts w:asciiTheme="majorHAnsi" w:hAnsiTheme="majorHAnsi" w:cs="Arial"/>
              <w:sz w:val="20"/>
              <w:szCs w:val="20"/>
            </w:rPr>
          </w:pPr>
          <w:r w:rsidRPr="00EC67F7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PRODUÇÃO (CPPS E AIPS)</w:t>
          </w:r>
        </w:p>
      </w:tc>
      <w:tc>
        <w:tcPr>
          <w:tcW w:w="2877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PROCEDIMENTO</w:t>
          </w:r>
          <w:r w:rsidRPr="00A37EDD">
            <w:rPr>
              <w:rFonts w:asciiTheme="majorHAnsi" w:hAnsiTheme="majorHAnsi" w:cs="Arial"/>
              <w:sz w:val="22"/>
              <w:szCs w:val="20"/>
            </w:rPr>
            <w:t xml:space="preserve"> Nº</w:t>
          </w:r>
        </w:p>
        <w:p w:rsidR="00244CA1" w:rsidRPr="00A37EDD" w:rsidRDefault="00EC67F7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EC67F7">
            <w:rPr>
              <w:rFonts w:asciiTheme="majorHAnsi" w:hAnsiTheme="majorHAnsi" w:cs="Arial"/>
              <w:sz w:val="22"/>
              <w:szCs w:val="20"/>
            </w:rPr>
            <w:t>PP.DTF.002/2017</w:t>
          </w:r>
        </w:p>
      </w:tc>
    </w:tr>
    <w:tr w:rsidR="00244CA1" w:rsidRPr="008D2702" w:rsidTr="006009D6">
      <w:trPr>
        <w:trHeight w:hRule="exact" w:val="349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301" w:lineRule="exact"/>
            <w:ind w:left="108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VERSÃO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301" w:lineRule="exact"/>
            <w:ind w:left="109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spacing w:val="-1"/>
              <w:w w:val="95"/>
              <w:sz w:val="22"/>
              <w:szCs w:val="20"/>
            </w:rPr>
            <w:t>APROVADO EM</w:t>
          </w:r>
        </w:p>
      </w:tc>
    </w:tr>
    <w:tr w:rsidR="00244CA1" w:rsidRPr="008D2702" w:rsidTr="006009D6">
      <w:trPr>
        <w:trHeight w:hRule="exact" w:val="364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244CA1" w:rsidRPr="008D2702" w:rsidRDefault="00244CA1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00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244CA1" w:rsidRPr="00A37EDD" w:rsidRDefault="00244CA1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##</w:t>
          </w:r>
          <w:r w:rsidRPr="00A37EDD">
            <w:rPr>
              <w:rFonts w:asciiTheme="majorHAnsi" w:hAnsiTheme="majorHAnsi" w:cs="Arial"/>
              <w:sz w:val="22"/>
              <w:szCs w:val="20"/>
            </w:rPr>
            <w:t>/</w:t>
          </w:r>
          <w:r>
            <w:rPr>
              <w:rFonts w:asciiTheme="majorHAnsi" w:hAnsiTheme="majorHAnsi" w:cs="Arial"/>
              <w:sz w:val="22"/>
              <w:szCs w:val="20"/>
            </w:rPr>
            <w:t>##/</w:t>
          </w:r>
          <w:r w:rsidRPr="00A37EDD">
            <w:rPr>
              <w:rFonts w:asciiTheme="majorHAnsi" w:hAnsiTheme="majorHAnsi" w:cs="Arial"/>
              <w:sz w:val="22"/>
              <w:szCs w:val="20"/>
            </w:rPr>
            <w:t>20</w:t>
          </w:r>
          <w:r>
            <w:rPr>
              <w:rFonts w:asciiTheme="majorHAnsi" w:hAnsiTheme="majorHAnsi" w:cs="Arial"/>
              <w:sz w:val="22"/>
              <w:szCs w:val="20"/>
            </w:rPr>
            <w:t>##</w:t>
          </w:r>
        </w:p>
      </w:tc>
    </w:tr>
  </w:tbl>
  <w:p w:rsidR="00244CA1" w:rsidRDefault="00244CA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723C"/>
    <w:multiLevelType w:val="hybridMultilevel"/>
    <w:tmpl w:val="453A2A9E"/>
    <w:lvl w:ilvl="0" w:tplc="F82C699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B3549E"/>
    <w:multiLevelType w:val="multilevel"/>
    <w:tmpl w:val="8CC00532"/>
    <w:lvl w:ilvl="0">
      <w:start w:val="1"/>
      <w:numFmt w:val="decimal"/>
      <w:pStyle w:val="Style1"/>
      <w:lvlText w:val="%1."/>
      <w:lvlJc w:val="left"/>
      <w:pPr>
        <w:ind w:left="6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432"/>
      </w:pPr>
    </w:lvl>
    <w:lvl w:ilvl="2">
      <w:start w:val="1"/>
      <w:numFmt w:val="decimal"/>
      <w:lvlText w:val="%1.%2.%3."/>
      <w:lvlJc w:val="left"/>
      <w:pPr>
        <w:ind w:left="150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06" w:hanging="648"/>
      </w:pPr>
    </w:lvl>
    <w:lvl w:ilvl="4">
      <w:start w:val="1"/>
      <w:numFmt w:val="decimal"/>
      <w:lvlText w:val="%1.%2.%3.%4.%5."/>
      <w:lvlJc w:val="left"/>
      <w:pPr>
        <w:ind w:left="2510" w:hanging="792"/>
      </w:pPr>
    </w:lvl>
    <w:lvl w:ilvl="5">
      <w:start w:val="1"/>
      <w:numFmt w:val="decimal"/>
      <w:lvlText w:val="%1.%2.%3.%4.%5.%6."/>
      <w:lvlJc w:val="left"/>
      <w:pPr>
        <w:ind w:left="3014" w:hanging="936"/>
      </w:pPr>
    </w:lvl>
    <w:lvl w:ilvl="6">
      <w:start w:val="1"/>
      <w:numFmt w:val="decimal"/>
      <w:lvlText w:val="%1.%2.%3.%4.%5.%6.%7."/>
      <w:lvlJc w:val="left"/>
      <w:pPr>
        <w:ind w:left="3518" w:hanging="1080"/>
      </w:pPr>
    </w:lvl>
    <w:lvl w:ilvl="7">
      <w:start w:val="1"/>
      <w:numFmt w:val="decimal"/>
      <w:lvlText w:val="%1.%2.%3.%4.%5.%6.%7.%8."/>
      <w:lvlJc w:val="left"/>
      <w:pPr>
        <w:ind w:left="4022" w:hanging="1224"/>
      </w:pPr>
    </w:lvl>
    <w:lvl w:ilvl="8">
      <w:start w:val="1"/>
      <w:numFmt w:val="decimal"/>
      <w:lvlText w:val="%1.%2.%3.%4.%5.%6.%7.%8.%9."/>
      <w:lvlJc w:val="left"/>
      <w:pPr>
        <w:ind w:left="4598" w:hanging="1440"/>
      </w:pPr>
    </w:lvl>
  </w:abstractNum>
  <w:abstractNum w:abstractNumId="2" w15:restartNumberingAfterBreak="0">
    <w:nsid w:val="031D22F7"/>
    <w:multiLevelType w:val="hybridMultilevel"/>
    <w:tmpl w:val="58CAA2DE"/>
    <w:lvl w:ilvl="0" w:tplc="7BA2733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4EEE80B0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56455"/>
    <w:multiLevelType w:val="hybridMultilevel"/>
    <w:tmpl w:val="E4506B56"/>
    <w:lvl w:ilvl="0" w:tplc="F0220E38">
      <w:start w:val="1"/>
      <w:numFmt w:val="lowerLetter"/>
      <w:lvlText w:val="%1)"/>
      <w:lvlJc w:val="left"/>
      <w:pPr>
        <w:ind w:left="1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8" w:hanging="360"/>
      </w:pPr>
    </w:lvl>
    <w:lvl w:ilvl="2" w:tplc="0416001B" w:tentative="1">
      <w:start w:val="1"/>
      <w:numFmt w:val="lowerRoman"/>
      <w:lvlText w:val="%3."/>
      <w:lvlJc w:val="right"/>
      <w:pPr>
        <w:ind w:left="2798" w:hanging="180"/>
      </w:pPr>
    </w:lvl>
    <w:lvl w:ilvl="3" w:tplc="0416000F" w:tentative="1">
      <w:start w:val="1"/>
      <w:numFmt w:val="decimal"/>
      <w:lvlText w:val="%4."/>
      <w:lvlJc w:val="left"/>
      <w:pPr>
        <w:ind w:left="3518" w:hanging="360"/>
      </w:pPr>
    </w:lvl>
    <w:lvl w:ilvl="4" w:tplc="04160019" w:tentative="1">
      <w:start w:val="1"/>
      <w:numFmt w:val="lowerLetter"/>
      <w:lvlText w:val="%5."/>
      <w:lvlJc w:val="left"/>
      <w:pPr>
        <w:ind w:left="4238" w:hanging="360"/>
      </w:pPr>
    </w:lvl>
    <w:lvl w:ilvl="5" w:tplc="0416001B" w:tentative="1">
      <w:start w:val="1"/>
      <w:numFmt w:val="lowerRoman"/>
      <w:lvlText w:val="%6."/>
      <w:lvlJc w:val="right"/>
      <w:pPr>
        <w:ind w:left="4958" w:hanging="180"/>
      </w:pPr>
    </w:lvl>
    <w:lvl w:ilvl="6" w:tplc="0416000F" w:tentative="1">
      <w:start w:val="1"/>
      <w:numFmt w:val="decimal"/>
      <w:lvlText w:val="%7."/>
      <w:lvlJc w:val="left"/>
      <w:pPr>
        <w:ind w:left="5678" w:hanging="360"/>
      </w:pPr>
    </w:lvl>
    <w:lvl w:ilvl="7" w:tplc="04160019" w:tentative="1">
      <w:start w:val="1"/>
      <w:numFmt w:val="lowerLetter"/>
      <w:lvlText w:val="%8."/>
      <w:lvlJc w:val="left"/>
      <w:pPr>
        <w:ind w:left="6398" w:hanging="360"/>
      </w:pPr>
    </w:lvl>
    <w:lvl w:ilvl="8" w:tplc="0416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4" w15:restartNumberingAfterBreak="0">
    <w:nsid w:val="06966614"/>
    <w:multiLevelType w:val="multilevel"/>
    <w:tmpl w:val="4ABC8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Univers for KPMG" w:hAnsi="Univers for KPMG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ascii="Univers for KPMG" w:hAnsi="Univers for KPMG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ascii="Univers for KPMG" w:hAnsi="Univers for KPMG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ascii="Univers for KPMG" w:hAnsi="Univers for KPMG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540" w:hanging="1440"/>
      </w:pPr>
      <w:rPr>
        <w:rFonts w:ascii="Univers for KPMG" w:hAnsi="Univers for KPMG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560" w:hanging="1440"/>
      </w:pPr>
      <w:rPr>
        <w:rFonts w:ascii="Univers for KPMG" w:hAnsi="Univers for KPMG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940" w:hanging="1800"/>
      </w:pPr>
      <w:rPr>
        <w:rFonts w:ascii="Univers for KPMG" w:hAnsi="Univers for KPMG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960" w:hanging="1800"/>
      </w:pPr>
      <w:rPr>
        <w:rFonts w:ascii="Univers for KPMG" w:hAnsi="Univers for KPMG" w:cs="Arial" w:hint="default"/>
        <w:sz w:val="24"/>
      </w:rPr>
    </w:lvl>
  </w:abstractNum>
  <w:abstractNum w:abstractNumId="5" w15:restartNumberingAfterBreak="0">
    <w:nsid w:val="06A178A5"/>
    <w:multiLevelType w:val="hybridMultilevel"/>
    <w:tmpl w:val="9F48FDA4"/>
    <w:lvl w:ilvl="0" w:tplc="0CDCC658">
      <w:start w:val="1"/>
      <w:numFmt w:val="lowerRoman"/>
      <w:lvlText w:val="%1."/>
      <w:lvlJc w:val="left"/>
      <w:pPr>
        <w:ind w:left="21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09AE1C32"/>
    <w:multiLevelType w:val="multilevel"/>
    <w:tmpl w:val="3DF67182"/>
    <w:lvl w:ilvl="0">
      <w:start w:val="1"/>
      <w:numFmt w:val="decimal"/>
      <w:lvlText w:val="%1."/>
      <w:lvlJc w:val="left"/>
      <w:pPr>
        <w:ind w:left="360" w:hanging="360"/>
      </w:pPr>
      <w:rPr>
        <w:rFonts w:ascii="Univers for KPMG" w:hAnsi="Univers for KPMG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Univers for KPMG" w:hAnsi="Univers for KPMG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FC59DA"/>
    <w:multiLevelType w:val="hybridMultilevel"/>
    <w:tmpl w:val="DC74E758"/>
    <w:lvl w:ilvl="0" w:tplc="0416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1129120E"/>
    <w:multiLevelType w:val="hybridMultilevel"/>
    <w:tmpl w:val="9E746380"/>
    <w:lvl w:ilvl="0" w:tplc="C8B67234">
      <w:start w:val="1"/>
      <w:numFmt w:val="lowerRoman"/>
      <w:lvlText w:val="%1."/>
      <w:lvlJc w:val="left"/>
      <w:pPr>
        <w:ind w:left="284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11367B8B"/>
    <w:multiLevelType w:val="hybridMultilevel"/>
    <w:tmpl w:val="B4CC6340"/>
    <w:lvl w:ilvl="0" w:tplc="06E60266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CE2AB88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86B3C"/>
    <w:multiLevelType w:val="hybridMultilevel"/>
    <w:tmpl w:val="540E2502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BC175F"/>
    <w:multiLevelType w:val="hybridMultilevel"/>
    <w:tmpl w:val="B296D608"/>
    <w:lvl w:ilvl="0" w:tplc="0416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24FB68C9"/>
    <w:multiLevelType w:val="hybridMultilevel"/>
    <w:tmpl w:val="6016C194"/>
    <w:lvl w:ilvl="0" w:tplc="30C2E156">
      <w:start w:val="1"/>
      <w:numFmt w:val="bullet"/>
      <w:lvlText w:val="̶"/>
      <w:lvlJc w:val="left"/>
      <w:pPr>
        <w:ind w:left="2138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A8B58F0"/>
    <w:multiLevelType w:val="hybridMultilevel"/>
    <w:tmpl w:val="7B8C0950"/>
    <w:lvl w:ilvl="0" w:tplc="0416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AED35E">
      <w:start w:val="1"/>
      <w:numFmt w:val="bullet"/>
      <w:lvlText w:val="—"/>
      <w:lvlJc w:val="left"/>
      <w:pPr>
        <w:ind w:left="2574" w:hanging="360"/>
      </w:pPr>
      <w:rPr>
        <w:rFonts w:ascii="Arial" w:hAnsi="Arial" w:cs="Arial" w:hint="default"/>
        <w:color w:val="auto"/>
        <w:sz w:val="24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D0B2D46"/>
    <w:multiLevelType w:val="hybridMultilevel"/>
    <w:tmpl w:val="E5907AE8"/>
    <w:lvl w:ilvl="0" w:tplc="EB9EA82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50B14B7"/>
    <w:multiLevelType w:val="hybridMultilevel"/>
    <w:tmpl w:val="66DA5554"/>
    <w:lvl w:ilvl="0" w:tplc="65D89D70">
      <w:start w:val="1"/>
      <w:numFmt w:val="upperRoman"/>
      <w:lvlText w:val="%1)"/>
      <w:lvlJc w:val="left"/>
      <w:pPr>
        <w:ind w:left="21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4CAF101D"/>
    <w:multiLevelType w:val="hybridMultilevel"/>
    <w:tmpl w:val="C264E872"/>
    <w:lvl w:ilvl="0" w:tplc="04160005">
      <w:start w:val="1"/>
      <w:numFmt w:val="bullet"/>
      <w:lvlText w:val=""/>
      <w:lvlJc w:val="left"/>
      <w:pPr>
        <w:ind w:left="99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7" w15:restartNumberingAfterBreak="0">
    <w:nsid w:val="4F525506"/>
    <w:multiLevelType w:val="hybridMultilevel"/>
    <w:tmpl w:val="CEB81C7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F77F5"/>
    <w:multiLevelType w:val="singleLevel"/>
    <w:tmpl w:val="04160005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auto"/>
        <w:sz w:val="24"/>
      </w:rPr>
    </w:lvl>
  </w:abstractNum>
  <w:abstractNum w:abstractNumId="19" w15:restartNumberingAfterBreak="0">
    <w:nsid w:val="535122C8"/>
    <w:multiLevelType w:val="hybridMultilevel"/>
    <w:tmpl w:val="54CA546C"/>
    <w:lvl w:ilvl="0" w:tplc="B0F426D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660421"/>
    <w:multiLevelType w:val="multilevel"/>
    <w:tmpl w:val="C8D4F2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72326EB"/>
    <w:multiLevelType w:val="hybridMultilevel"/>
    <w:tmpl w:val="7AA815AC"/>
    <w:lvl w:ilvl="0" w:tplc="04160017">
      <w:start w:val="1"/>
      <w:numFmt w:val="lowerLetter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57E703B4"/>
    <w:multiLevelType w:val="hybridMultilevel"/>
    <w:tmpl w:val="9DF08A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C22EF"/>
    <w:multiLevelType w:val="hybridMultilevel"/>
    <w:tmpl w:val="BC62B1AA"/>
    <w:lvl w:ilvl="0" w:tplc="B6542D0A">
      <w:start w:val="1"/>
      <w:numFmt w:val="bullet"/>
      <w:lvlText w:val="̶"/>
      <w:lvlJc w:val="left"/>
      <w:pPr>
        <w:ind w:left="1854" w:hanging="360"/>
      </w:pPr>
      <w:rPr>
        <w:rFonts w:ascii="Calibri" w:hAnsi="Calibri" w:hint="default"/>
      </w:rPr>
    </w:lvl>
    <w:lvl w:ilvl="1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36BB6"/>
    <w:multiLevelType w:val="multilevel"/>
    <w:tmpl w:val="9F48FDA4"/>
    <w:lvl w:ilvl="0">
      <w:start w:val="1"/>
      <w:numFmt w:val="lowerRoman"/>
      <w:lvlText w:val="%1."/>
      <w:lvlJc w:val="left"/>
      <w:pPr>
        <w:ind w:left="2138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98" w:hanging="360"/>
      </w:pPr>
    </w:lvl>
    <w:lvl w:ilvl="2" w:tentative="1">
      <w:start w:val="1"/>
      <w:numFmt w:val="lowerRoman"/>
      <w:lvlText w:val="%3."/>
      <w:lvlJc w:val="right"/>
      <w:pPr>
        <w:ind w:left="3218" w:hanging="180"/>
      </w:pPr>
    </w:lvl>
    <w:lvl w:ilvl="3" w:tentative="1">
      <w:start w:val="1"/>
      <w:numFmt w:val="decimal"/>
      <w:lvlText w:val="%4."/>
      <w:lvlJc w:val="left"/>
      <w:pPr>
        <w:ind w:left="3938" w:hanging="360"/>
      </w:pPr>
    </w:lvl>
    <w:lvl w:ilvl="4" w:tentative="1">
      <w:start w:val="1"/>
      <w:numFmt w:val="lowerLetter"/>
      <w:lvlText w:val="%5."/>
      <w:lvlJc w:val="left"/>
      <w:pPr>
        <w:ind w:left="4658" w:hanging="360"/>
      </w:pPr>
    </w:lvl>
    <w:lvl w:ilvl="5" w:tentative="1">
      <w:start w:val="1"/>
      <w:numFmt w:val="lowerRoman"/>
      <w:lvlText w:val="%6."/>
      <w:lvlJc w:val="right"/>
      <w:pPr>
        <w:ind w:left="5378" w:hanging="180"/>
      </w:pPr>
    </w:lvl>
    <w:lvl w:ilvl="6" w:tentative="1">
      <w:start w:val="1"/>
      <w:numFmt w:val="decimal"/>
      <w:lvlText w:val="%7."/>
      <w:lvlJc w:val="left"/>
      <w:pPr>
        <w:ind w:left="6098" w:hanging="360"/>
      </w:pPr>
    </w:lvl>
    <w:lvl w:ilvl="7" w:tentative="1">
      <w:start w:val="1"/>
      <w:numFmt w:val="lowerLetter"/>
      <w:lvlText w:val="%8."/>
      <w:lvlJc w:val="left"/>
      <w:pPr>
        <w:ind w:left="6818" w:hanging="360"/>
      </w:pPr>
    </w:lvl>
    <w:lvl w:ilvl="8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64D50936"/>
    <w:multiLevelType w:val="hybridMultilevel"/>
    <w:tmpl w:val="AE4E5732"/>
    <w:lvl w:ilvl="0" w:tplc="0464E9CA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6CD1966"/>
    <w:multiLevelType w:val="multilevel"/>
    <w:tmpl w:val="162286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7" w15:restartNumberingAfterBreak="0">
    <w:nsid w:val="680710ED"/>
    <w:multiLevelType w:val="hybridMultilevel"/>
    <w:tmpl w:val="2AA456A8"/>
    <w:lvl w:ilvl="0" w:tplc="0416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E264C7D"/>
    <w:multiLevelType w:val="hybridMultilevel"/>
    <w:tmpl w:val="A86A5E2C"/>
    <w:lvl w:ilvl="0" w:tplc="28C45B6C">
      <w:start w:val="1"/>
      <w:numFmt w:val="lowerLetter"/>
      <w:lvlText w:val="%1)"/>
      <w:lvlJc w:val="left"/>
      <w:pPr>
        <w:ind w:left="140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27" w:hanging="360"/>
      </w:pPr>
    </w:lvl>
    <w:lvl w:ilvl="2" w:tplc="0416001B" w:tentative="1">
      <w:start w:val="1"/>
      <w:numFmt w:val="lowerRoman"/>
      <w:lvlText w:val="%3."/>
      <w:lvlJc w:val="right"/>
      <w:pPr>
        <w:ind w:left="2847" w:hanging="180"/>
      </w:pPr>
    </w:lvl>
    <w:lvl w:ilvl="3" w:tplc="0416000F" w:tentative="1">
      <w:start w:val="1"/>
      <w:numFmt w:val="decimal"/>
      <w:lvlText w:val="%4."/>
      <w:lvlJc w:val="left"/>
      <w:pPr>
        <w:ind w:left="3567" w:hanging="360"/>
      </w:pPr>
    </w:lvl>
    <w:lvl w:ilvl="4" w:tplc="04160019" w:tentative="1">
      <w:start w:val="1"/>
      <w:numFmt w:val="lowerLetter"/>
      <w:lvlText w:val="%5."/>
      <w:lvlJc w:val="left"/>
      <w:pPr>
        <w:ind w:left="4287" w:hanging="360"/>
      </w:pPr>
    </w:lvl>
    <w:lvl w:ilvl="5" w:tplc="0416001B" w:tentative="1">
      <w:start w:val="1"/>
      <w:numFmt w:val="lowerRoman"/>
      <w:lvlText w:val="%6."/>
      <w:lvlJc w:val="right"/>
      <w:pPr>
        <w:ind w:left="5007" w:hanging="180"/>
      </w:pPr>
    </w:lvl>
    <w:lvl w:ilvl="6" w:tplc="0416000F" w:tentative="1">
      <w:start w:val="1"/>
      <w:numFmt w:val="decimal"/>
      <w:lvlText w:val="%7."/>
      <w:lvlJc w:val="left"/>
      <w:pPr>
        <w:ind w:left="5727" w:hanging="360"/>
      </w:pPr>
    </w:lvl>
    <w:lvl w:ilvl="7" w:tplc="04160019" w:tentative="1">
      <w:start w:val="1"/>
      <w:numFmt w:val="lowerLetter"/>
      <w:lvlText w:val="%8."/>
      <w:lvlJc w:val="left"/>
      <w:pPr>
        <w:ind w:left="6447" w:hanging="360"/>
      </w:pPr>
    </w:lvl>
    <w:lvl w:ilvl="8" w:tplc="0416001B" w:tentative="1">
      <w:start w:val="1"/>
      <w:numFmt w:val="lowerRoman"/>
      <w:lvlText w:val="%9."/>
      <w:lvlJc w:val="right"/>
      <w:pPr>
        <w:ind w:left="7167" w:hanging="180"/>
      </w:p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26"/>
  </w:num>
  <w:num w:numId="5">
    <w:abstractNumId w:val="20"/>
  </w:num>
  <w:num w:numId="6">
    <w:abstractNumId w:val="17"/>
  </w:num>
  <w:num w:numId="7">
    <w:abstractNumId w:val="3"/>
  </w:num>
  <w:num w:numId="8">
    <w:abstractNumId w:val="7"/>
  </w:num>
  <w:num w:numId="9">
    <w:abstractNumId w:val="22"/>
  </w:num>
  <w:num w:numId="10">
    <w:abstractNumId w:val="12"/>
  </w:num>
  <w:num w:numId="11">
    <w:abstractNumId w:val="10"/>
  </w:num>
  <w:num w:numId="12">
    <w:abstractNumId w:val="4"/>
  </w:num>
  <w:num w:numId="13">
    <w:abstractNumId w:val="18"/>
  </w:num>
  <w:num w:numId="14">
    <w:abstractNumId w:val="27"/>
  </w:num>
  <w:num w:numId="15">
    <w:abstractNumId w:val="15"/>
  </w:num>
  <w:num w:numId="16">
    <w:abstractNumId w:val="28"/>
  </w:num>
  <w:num w:numId="17">
    <w:abstractNumId w:val="20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14"/>
  </w:num>
  <w:num w:numId="29">
    <w:abstractNumId w:val="8"/>
  </w:num>
  <w:num w:numId="30">
    <w:abstractNumId w:val="25"/>
  </w:num>
  <w:num w:numId="31">
    <w:abstractNumId w:val="13"/>
  </w:num>
  <w:num w:numId="32">
    <w:abstractNumId w:val="6"/>
  </w:num>
  <w:num w:numId="33">
    <w:abstractNumId w:val="21"/>
  </w:num>
  <w:num w:numId="34">
    <w:abstractNumId w:val="5"/>
  </w:num>
  <w:num w:numId="35">
    <w:abstractNumId w:val="2"/>
  </w:num>
  <w:num w:numId="36">
    <w:abstractNumId w:val="24"/>
  </w:num>
  <w:num w:numId="37">
    <w:abstractNumId w:val="9"/>
  </w:num>
  <w:num w:numId="38">
    <w:abstractNumId w:val="0"/>
  </w:num>
  <w:num w:numId="39">
    <w:abstractNumId w:val="23"/>
  </w:num>
  <w:num w:numId="40">
    <w:abstractNumId w:val="19"/>
  </w:num>
  <w:num w:numId="41">
    <w:abstractNumId w:val="20"/>
  </w:num>
  <w:num w:numId="42">
    <w:abstractNumId w:val="20"/>
  </w:num>
  <w:num w:numId="43">
    <w:abstractNumId w:val="20"/>
  </w:num>
  <w:num w:numId="44">
    <w:abstractNumId w:val="20"/>
  </w:num>
  <w:num w:numId="45">
    <w:abstractNumId w:val="20"/>
  </w:num>
  <w:num w:numId="46">
    <w:abstractNumId w:val="20"/>
  </w:num>
  <w:num w:numId="47">
    <w:abstractNumId w:val="20"/>
  </w:num>
  <w:num w:numId="48">
    <w:abstractNumId w:val="20"/>
  </w:num>
  <w:num w:numId="49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76"/>
    <w:rsid w:val="0000756A"/>
    <w:rsid w:val="00034DBC"/>
    <w:rsid w:val="00037F05"/>
    <w:rsid w:val="00042F73"/>
    <w:rsid w:val="0005327E"/>
    <w:rsid w:val="00071C84"/>
    <w:rsid w:val="00080ACC"/>
    <w:rsid w:val="000862AF"/>
    <w:rsid w:val="00093CF6"/>
    <w:rsid w:val="00095EF5"/>
    <w:rsid w:val="000B56E5"/>
    <w:rsid w:val="000B7086"/>
    <w:rsid w:val="000C0AD3"/>
    <w:rsid w:val="000C6A5A"/>
    <w:rsid w:val="00117097"/>
    <w:rsid w:val="00130A65"/>
    <w:rsid w:val="001357B9"/>
    <w:rsid w:val="00170878"/>
    <w:rsid w:val="00183ED0"/>
    <w:rsid w:val="00194178"/>
    <w:rsid w:val="001B0D58"/>
    <w:rsid w:val="001C4711"/>
    <w:rsid w:val="001D0B80"/>
    <w:rsid w:val="001D126B"/>
    <w:rsid w:val="001D5364"/>
    <w:rsid w:val="001F0D4D"/>
    <w:rsid w:val="001F3DF9"/>
    <w:rsid w:val="00235BA2"/>
    <w:rsid w:val="00243A29"/>
    <w:rsid w:val="00244CA1"/>
    <w:rsid w:val="00255FA8"/>
    <w:rsid w:val="002676C2"/>
    <w:rsid w:val="00267974"/>
    <w:rsid w:val="0027071E"/>
    <w:rsid w:val="00272007"/>
    <w:rsid w:val="00292F87"/>
    <w:rsid w:val="002A14B3"/>
    <w:rsid w:val="002B4556"/>
    <w:rsid w:val="00305049"/>
    <w:rsid w:val="003105FC"/>
    <w:rsid w:val="003122FC"/>
    <w:rsid w:val="0031438E"/>
    <w:rsid w:val="003174A8"/>
    <w:rsid w:val="003177CB"/>
    <w:rsid w:val="00355C38"/>
    <w:rsid w:val="00380D95"/>
    <w:rsid w:val="003D1B7D"/>
    <w:rsid w:val="003E1865"/>
    <w:rsid w:val="003E18D5"/>
    <w:rsid w:val="003E7E7F"/>
    <w:rsid w:val="0041483F"/>
    <w:rsid w:val="00451F14"/>
    <w:rsid w:val="00473864"/>
    <w:rsid w:val="00484A4B"/>
    <w:rsid w:val="00484E91"/>
    <w:rsid w:val="004A1BE3"/>
    <w:rsid w:val="004B41E7"/>
    <w:rsid w:val="004C2060"/>
    <w:rsid w:val="004C474A"/>
    <w:rsid w:val="00502A6A"/>
    <w:rsid w:val="00507F62"/>
    <w:rsid w:val="00521FC8"/>
    <w:rsid w:val="005267C2"/>
    <w:rsid w:val="00533048"/>
    <w:rsid w:val="00551FC8"/>
    <w:rsid w:val="00563267"/>
    <w:rsid w:val="00567443"/>
    <w:rsid w:val="00567994"/>
    <w:rsid w:val="00572692"/>
    <w:rsid w:val="00593256"/>
    <w:rsid w:val="005B6025"/>
    <w:rsid w:val="005E296D"/>
    <w:rsid w:val="005F1A77"/>
    <w:rsid w:val="006009D6"/>
    <w:rsid w:val="00622F37"/>
    <w:rsid w:val="00630F7E"/>
    <w:rsid w:val="00654FE9"/>
    <w:rsid w:val="006564D3"/>
    <w:rsid w:val="00677789"/>
    <w:rsid w:val="00691D57"/>
    <w:rsid w:val="006B0750"/>
    <w:rsid w:val="006B62A7"/>
    <w:rsid w:val="006B7BEE"/>
    <w:rsid w:val="006E2DF6"/>
    <w:rsid w:val="006E3861"/>
    <w:rsid w:val="006E4A1B"/>
    <w:rsid w:val="006F703E"/>
    <w:rsid w:val="006F7853"/>
    <w:rsid w:val="007124B3"/>
    <w:rsid w:val="00712C75"/>
    <w:rsid w:val="007254CF"/>
    <w:rsid w:val="00743468"/>
    <w:rsid w:val="00772A7C"/>
    <w:rsid w:val="007836D0"/>
    <w:rsid w:val="007C3715"/>
    <w:rsid w:val="007D2767"/>
    <w:rsid w:val="008114AF"/>
    <w:rsid w:val="00821A62"/>
    <w:rsid w:val="0082394C"/>
    <w:rsid w:val="0084759B"/>
    <w:rsid w:val="00851996"/>
    <w:rsid w:val="008541BF"/>
    <w:rsid w:val="0088677F"/>
    <w:rsid w:val="008A1411"/>
    <w:rsid w:val="008D2702"/>
    <w:rsid w:val="008F1071"/>
    <w:rsid w:val="00922A9F"/>
    <w:rsid w:val="00922BB2"/>
    <w:rsid w:val="009460EA"/>
    <w:rsid w:val="00946460"/>
    <w:rsid w:val="00951A09"/>
    <w:rsid w:val="00963B25"/>
    <w:rsid w:val="00971F7E"/>
    <w:rsid w:val="009730D3"/>
    <w:rsid w:val="00985AAB"/>
    <w:rsid w:val="009B0F6F"/>
    <w:rsid w:val="009B17BD"/>
    <w:rsid w:val="009B5B74"/>
    <w:rsid w:val="009B7F76"/>
    <w:rsid w:val="009D3B41"/>
    <w:rsid w:val="009F6898"/>
    <w:rsid w:val="00A03763"/>
    <w:rsid w:val="00A1094A"/>
    <w:rsid w:val="00A22989"/>
    <w:rsid w:val="00A348CD"/>
    <w:rsid w:val="00A37EDD"/>
    <w:rsid w:val="00A44B4B"/>
    <w:rsid w:val="00A54198"/>
    <w:rsid w:val="00A966FB"/>
    <w:rsid w:val="00AC191D"/>
    <w:rsid w:val="00AC571B"/>
    <w:rsid w:val="00AE5634"/>
    <w:rsid w:val="00B1433F"/>
    <w:rsid w:val="00B20B58"/>
    <w:rsid w:val="00B22691"/>
    <w:rsid w:val="00B32BDD"/>
    <w:rsid w:val="00B33CE9"/>
    <w:rsid w:val="00B34CB7"/>
    <w:rsid w:val="00B466FE"/>
    <w:rsid w:val="00B616DC"/>
    <w:rsid w:val="00B82535"/>
    <w:rsid w:val="00B91B6D"/>
    <w:rsid w:val="00B95FD3"/>
    <w:rsid w:val="00BA5A69"/>
    <w:rsid w:val="00BB34F7"/>
    <w:rsid w:val="00BB4BA9"/>
    <w:rsid w:val="00BE6808"/>
    <w:rsid w:val="00BF19A0"/>
    <w:rsid w:val="00C45B97"/>
    <w:rsid w:val="00C56D8F"/>
    <w:rsid w:val="00C64867"/>
    <w:rsid w:val="00C655D0"/>
    <w:rsid w:val="00C7010C"/>
    <w:rsid w:val="00C96D47"/>
    <w:rsid w:val="00CC34E5"/>
    <w:rsid w:val="00CC3566"/>
    <w:rsid w:val="00CC797A"/>
    <w:rsid w:val="00CD2415"/>
    <w:rsid w:val="00CE6C54"/>
    <w:rsid w:val="00CF10F5"/>
    <w:rsid w:val="00D039EB"/>
    <w:rsid w:val="00D25291"/>
    <w:rsid w:val="00D34A53"/>
    <w:rsid w:val="00D4367B"/>
    <w:rsid w:val="00D547C3"/>
    <w:rsid w:val="00D86A59"/>
    <w:rsid w:val="00D91476"/>
    <w:rsid w:val="00DA0EAE"/>
    <w:rsid w:val="00DD14A9"/>
    <w:rsid w:val="00DE4573"/>
    <w:rsid w:val="00DF215C"/>
    <w:rsid w:val="00E16002"/>
    <w:rsid w:val="00E325E5"/>
    <w:rsid w:val="00E92425"/>
    <w:rsid w:val="00E952B6"/>
    <w:rsid w:val="00E97D97"/>
    <w:rsid w:val="00EB760D"/>
    <w:rsid w:val="00EC67F7"/>
    <w:rsid w:val="00EE088A"/>
    <w:rsid w:val="00EE0DBC"/>
    <w:rsid w:val="00F113BE"/>
    <w:rsid w:val="00F114B3"/>
    <w:rsid w:val="00F34D6C"/>
    <w:rsid w:val="00F40719"/>
    <w:rsid w:val="00F43A06"/>
    <w:rsid w:val="00F47E29"/>
    <w:rsid w:val="00F73D05"/>
    <w:rsid w:val="00F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F7FD48-37BE-422D-8A6C-31599A51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476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80D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E18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80D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80D95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unhideWhenUsed/>
    <w:rsid w:val="00380D95"/>
    <w:pPr>
      <w:spacing w:after="1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380D95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7C3715"/>
    <w:pPr>
      <w:ind w:left="720"/>
      <w:contextualSpacing/>
    </w:pPr>
  </w:style>
  <w:style w:type="table" w:styleId="Tabelacomgrade">
    <w:name w:val="Table Grid"/>
    <w:basedOn w:val="Tabelanormal"/>
    <w:uiPriority w:val="39"/>
    <w:rsid w:val="00A9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basedOn w:val="Fontepargpadro"/>
    <w:uiPriority w:val="99"/>
    <w:semiHidden/>
    <w:unhideWhenUsed/>
    <w:rsid w:val="00C7010C"/>
  </w:style>
  <w:style w:type="paragraph" w:styleId="Corpodetexto">
    <w:name w:val="Body Text"/>
    <w:basedOn w:val="Normal"/>
    <w:link w:val="CorpodetextoChar"/>
    <w:uiPriority w:val="99"/>
    <w:rsid w:val="00235BA2"/>
    <w:pPr>
      <w:jc w:val="both"/>
    </w:pPr>
    <w:rPr>
      <w:rFonts w:ascii="Arial" w:eastAsia="Times New Roman" w:hAnsi="Arial"/>
      <w:bCs/>
      <w:i/>
      <w:iCs/>
      <w:sz w:val="22"/>
    </w:rPr>
  </w:style>
  <w:style w:type="character" w:customStyle="1" w:styleId="CorpodetextoChar">
    <w:name w:val="Corpo de texto Char"/>
    <w:basedOn w:val="Fontepargpadro"/>
    <w:link w:val="Corpodetexto"/>
    <w:uiPriority w:val="99"/>
    <w:rsid w:val="00235BA2"/>
    <w:rPr>
      <w:rFonts w:ascii="Arial" w:eastAsia="Times New Roman" w:hAnsi="Arial" w:cs="Times New Roman"/>
      <w:bCs/>
      <w:i/>
      <w:iCs/>
      <w:szCs w:val="24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35BA2"/>
    <w:pPr>
      <w:spacing w:after="100"/>
      <w:ind w:left="1920"/>
    </w:pPr>
  </w:style>
  <w:style w:type="paragraph" w:customStyle="1" w:styleId="Body">
    <w:name w:val="Body"/>
    <w:basedOn w:val="Normal"/>
    <w:link w:val="BodyChar"/>
    <w:qFormat/>
    <w:rsid w:val="00235BA2"/>
    <w:pPr>
      <w:spacing w:before="120" w:line="259" w:lineRule="auto"/>
      <w:jc w:val="both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BodyChar">
    <w:name w:val="Body Char"/>
    <w:basedOn w:val="Fontepargpadro"/>
    <w:link w:val="Body"/>
    <w:rsid w:val="00235BA2"/>
  </w:style>
  <w:style w:type="paragraph" w:styleId="Textodenotaderodap">
    <w:name w:val="footnote text"/>
    <w:basedOn w:val="Normal"/>
    <w:link w:val="TextodenotaderodapChar"/>
    <w:uiPriority w:val="99"/>
    <w:semiHidden/>
    <w:rsid w:val="003E1865"/>
    <w:pPr>
      <w:jc w:val="both"/>
    </w:pPr>
    <w:rPr>
      <w:rFonts w:ascii="Arial" w:eastAsia="Times New Roman" w:hAnsi="Arial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1865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uiPriority w:val="99"/>
    <w:rsid w:val="003E1865"/>
    <w:rPr>
      <w:vertAlign w:val="superscript"/>
    </w:rPr>
  </w:style>
  <w:style w:type="paragraph" w:customStyle="1" w:styleId="Default">
    <w:name w:val="Default"/>
    <w:rsid w:val="003E1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rsid w:val="003E18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186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1865"/>
    <w:rPr>
      <w:rFonts w:ascii="Segoe UI" w:hAnsi="Segoe UI" w:cs="Segoe UI"/>
      <w:sz w:val="18"/>
      <w:szCs w:val="18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4C2060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Sumrio3">
    <w:name w:val="toc 3"/>
    <w:basedOn w:val="Normal"/>
    <w:next w:val="Normal"/>
    <w:autoRedefine/>
    <w:uiPriority w:val="39"/>
    <w:unhideWhenUsed/>
    <w:rsid w:val="004C2060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Style1">
    <w:name w:val="Style1"/>
    <w:basedOn w:val="Ttulo1"/>
    <w:link w:val="Style1Char"/>
    <w:qFormat/>
    <w:rsid w:val="007254CF"/>
    <w:pPr>
      <w:numPr>
        <w:numId w:val="2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paragraph" w:customStyle="1" w:styleId="Style2">
    <w:name w:val="Style2"/>
    <w:basedOn w:val="Ttulo2"/>
    <w:link w:val="Style2Char"/>
    <w:qFormat/>
    <w:rsid w:val="007254CF"/>
    <w:pPr>
      <w:numPr>
        <w:ilvl w:val="1"/>
        <w:numId w:val="4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character" w:customStyle="1" w:styleId="Style1Char">
    <w:name w:val="Style1 Char"/>
    <w:basedOn w:val="Ttulo1Char"/>
    <w:link w:val="Style1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customStyle="1" w:styleId="Style3">
    <w:name w:val="Style3"/>
    <w:basedOn w:val="PargrafodaLista"/>
    <w:link w:val="Style3Char"/>
    <w:qFormat/>
    <w:rsid w:val="00255FA8"/>
    <w:pPr>
      <w:numPr>
        <w:ilvl w:val="2"/>
        <w:numId w:val="5"/>
      </w:numPr>
      <w:spacing w:before="240" w:after="240" w:line="360" w:lineRule="auto"/>
      <w:jc w:val="both"/>
    </w:pPr>
    <w:rPr>
      <w:rFonts w:asciiTheme="minorHAnsi" w:hAnsiTheme="minorHAnsi" w:cstheme="minorHAnsi"/>
    </w:rPr>
  </w:style>
  <w:style w:type="character" w:customStyle="1" w:styleId="Style2Char">
    <w:name w:val="Style2 Char"/>
    <w:basedOn w:val="Ttulo2Char"/>
    <w:link w:val="Style2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qFormat/>
    <w:rsid w:val="00502A6A"/>
    <w:pPr>
      <w:spacing w:before="120" w:after="120"/>
      <w:jc w:val="both"/>
    </w:pPr>
    <w:rPr>
      <w:rFonts w:ascii="Arial" w:eastAsia="Times New Roman" w:hAnsi="Arial"/>
      <w:b/>
      <w:bCs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55FA8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Style3Char">
    <w:name w:val="Style3 Char"/>
    <w:basedOn w:val="PargrafodaListaChar"/>
    <w:link w:val="Style3"/>
    <w:rsid w:val="00255FA8"/>
    <w:rPr>
      <w:rFonts w:ascii="Times New Roman" w:hAnsi="Times New Roman" w:cstheme="minorHAnsi"/>
      <w:sz w:val="24"/>
      <w:szCs w:val="24"/>
      <w:lang w:eastAsia="pt-BR"/>
    </w:rPr>
  </w:style>
  <w:style w:type="paragraph" w:customStyle="1" w:styleId="Blockident5">
    <w:name w:val="Block ident 5"/>
    <w:basedOn w:val="Normal"/>
    <w:link w:val="Blockident5Char"/>
    <w:rsid w:val="002676C2"/>
    <w:pPr>
      <w:tabs>
        <w:tab w:val="left" w:pos="1701"/>
        <w:tab w:val="left" w:pos="2552"/>
      </w:tabs>
      <w:spacing w:before="40"/>
      <w:ind w:left="1701" w:right="142" w:hanging="1134"/>
      <w:jc w:val="both"/>
    </w:pPr>
    <w:rPr>
      <w:rFonts w:ascii="Arial" w:eastAsia="Batang" w:hAnsi="Arial"/>
      <w:sz w:val="22"/>
      <w:szCs w:val="22"/>
      <w:lang w:val="en-US"/>
    </w:rPr>
  </w:style>
  <w:style w:type="character" w:customStyle="1" w:styleId="Blockident5Char">
    <w:name w:val="Block ident 5 Char"/>
    <w:link w:val="Blockident5"/>
    <w:rsid w:val="002676C2"/>
    <w:rPr>
      <w:rFonts w:ascii="Arial" w:eastAsia="Batang" w:hAnsi="Arial" w:cs="Times New Roman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20BE2-A8A8-4D87-8B61-882F84AD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3351</Words>
  <Characters>18100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Carlos Eduardo Medeiros de Carvalho</cp:lastModifiedBy>
  <cp:revision>6</cp:revision>
  <cp:lastPrinted>2017-06-23T18:14:00Z</cp:lastPrinted>
  <dcterms:created xsi:type="dcterms:W3CDTF">2017-08-22T16:15:00Z</dcterms:created>
  <dcterms:modified xsi:type="dcterms:W3CDTF">2018-02-07T16:17:00Z</dcterms:modified>
</cp:coreProperties>
</file>