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BB2" w:rsidRPr="00632D93" w:rsidRDefault="00922BB2" w:rsidP="00632D93">
      <w:pPr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632D93">
        <w:rPr>
          <w:rFonts w:asciiTheme="minorHAnsi" w:hAnsiTheme="minorHAnsi" w:cstheme="minorHAnsi"/>
          <w:b/>
          <w:sz w:val="22"/>
          <w:szCs w:val="22"/>
          <w:lang w:eastAsia="en-US"/>
        </w:rPr>
        <w:t>SUMÁRIO</w:t>
      </w: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</w:rPr>
        <w:id w:val="-174595355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4C2060" w:rsidRPr="00632D93" w:rsidRDefault="004C2060" w:rsidP="00632D93">
          <w:pPr>
            <w:pStyle w:val="CabealhodoSumrio"/>
            <w:spacing w:before="0"/>
            <w:rPr>
              <w:rFonts w:asciiTheme="minorHAnsi" w:hAnsiTheme="minorHAnsi" w:cstheme="minorHAnsi"/>
              <w:sz w:val="22"/>
              <w:szCs w:val="22"/>
            </w:rPr>
          </w:pPr>
        </w:p>
        <w:p w:rsidR="00916F59" w:rsidRPr="00916F59" w:rsidRDefault="004C206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r w:rsidRPr="00916F59">
            <w:rPr>
              <w:rFonts w:cstheme="minorHAnsi"/>
            </w:rPr>
            <w:fldChar w:fldCharType="begin"/>
          </w:r>
          <w:r w:rsidRPr="00916F59">
            <w:rPr>
              <w:rFonts w:cstheme="minorHAnsi"/>
            </w:rPr>
            <w:instrText xml:space="preserve"> TOC \o "1-3" \h \z \u </w:instrText>
          </w:r>
          <w:r w:rsidRPr="00916F59">
            <w:rPr>
              <w:rFonts w:cstheme="minorHAnsi"/>
            </w:rPr>
            <w:fldChar w:fldCharType="separate"/>
          </w:r>
          <w:hyperlink w:anchor="_Toc492827550" w:history="1">
            <w:r w:rsidR="00916F59" w:rsidRPr="00916F59">
              <w:rPr>
                <w:rStyle w:val="Hyperlink"/>
                <w:noProof/>
              </w:rPr>
              <w:t>1.</w:t>
            </w:r>
            <w:r w:rsidR="00916F59" w:rsidRPr="00916F59">
              <w:rPr>
                <w:rFonts w:eastAsiaTheme="minorEastAsia"/>
                <w:noProof/>
                <w:lang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Objetivo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_Toc492827550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- 2 -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7551" w:history="1">
            <w:r w:rsidR="00916F59" w:rsidRPr="00916F59">
              <w:rPr>
                <w:rStyle w:val="Hyperlink"/>
                <w:noProof/>
              </w:rPr>
              <w:t>2.</w:t>
            </w:r>
            <w:r w:rsidR="00916F59" w:rsidRPr="00916F59">
              <w:rPr>
                <w:rFonts w:eastAsiaTheme="minorEastAsia"/>
                <w:noProof/>
                <w:lang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Aplicação e Abrangência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_Toc492827551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- 2 -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7552" w:history="1">
            <w:r w:rsidR="00916F59" w:rsidRPr="00916F59">
              <w:rPr>
                <w:rStyle w:val="Hyperlink"/>
                <w:noProof/>
              </w:rPr>
              <w:t>3.</w:t>
            </w:r>
            <w:r w:rsidR="00916F59" w:rsidRPr="00916F59">
              <w:rPr>
                <w:rFonts w:eastAsiaTheme="minorEastAsia"/>
                <w:noProof/>
                <w:lang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Documentos de Referência e Complementares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_Toc492827552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- 2 -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7553" w:history="1">
            <w:r w:rsidR="00916F59" w:rsidRPr="00916F59">
              <w:rPr>
                <w:rStyle w:val="Hyperlink"/>
                <w:noProof/>
              </w:rPr>
              <w:t>4.</w:t>
            </w:r>
            <w:r w:rsidR="00916F59" w:rsidRPr="00916F59">
              <w:rPr>
                <w:rFonts w:eastAsiaTheme="minorEastAsia"/>
                <w:noProof/>
                <w:lang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Definições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_Toc492827553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- 3 -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7554" w:history="1">
            <w:r w:rsidR="00916F59" w:rsidRPr="00916F59">
              <w:rPr>
                <w:rStyle w:val="Hyperlink"/>
                <w:noProof/>
              </w:rPr>
              <w:t>5.</w:t>
            </w:r>
            <w:r w:rsidR="00916F59" w:rsidRPr="00916F59">
              <w:rPr>
                <w:rFonts w:eastAsiaTheme="minorEastAsia"/>
                <w:noProof/>
                <w:lang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Autoridade e Competências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_Toc492827554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- 4 -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7555" w:history="1">
            <w:r w:rsidR="00916F59" w:rsidRPr="00916F59">
              <w:rPr>
                <w:rStyle w:val="Hyperlink"/>
                <w:noProof/>
              </w:rPr>
              <w:t>6.</w:t>
            </w:r>
            <w:r w:rsidR="00916F59" w:rsidRPr="00916F59">
              <w:rPr>
                <w:rFonts w:eastAsiaTheme="minorEastAsia"/>
                <w:noProof/>
                <w:lang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Descrição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_Toc492827555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- 5 -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7556" w:history="1">
            <w:r w:rsidR="00916F59" w:rsidRPr="00916F59">
              <w:rPr>
                <w:rStyle w:val="Hyperlink"/>
                <w:noProof/>
              </w:rPr>
              <w:t>6.1.</w:t>
            </w:r>
            <w:r w:rsidR="00916F59" w:rsidRPr="00916F59">
              <w:rPr>
                <w:rFonts w:cstheme="minorBidi"/>
                <w:noProof/>
                <w:lang w:val="pt-BR"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Descrição Geral do Processo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_Toc492827556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- 5 -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7557" w:history="1">
            <w:r w:rsidR="00916F59" w:rsidRPr="00916F59">
              <w:rPr>
                <w:rStyle w:val="Hyperlink"/>
                <w:noProof/>
              </w:rPr>
              <w:t>6.2.</w:t>
            </w:r>
            <w:r w:rsidR="00916F59" w:rsidRPr="00916F59">
              <w:rPr>
                <w:rFonts w:cstheme="minorBidi"/>
                <w:noProof/>
                <w:lang w:val="pt-BR"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Validações e Cálculos do SGPP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_Toc492827557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- 5 -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7558" w:history="1">
            <w:r w:rsidR="00916F59" w:rsidRPr="00916F59">
              <w:rPr>
                <w:rStyle w:val="Hyperlink"/>
                <w:noProof/>
              </w:rPr>
              <w:t>6.3.</w:t>
            </w:r>
            <w:r w:rsidR="00916F59" w:rsidRPr="00916F59">
              <w:rPr>
                <w:rFonts w:cstheme="minorBidi"/>
                <w:noProof/>
                <w:lang w:val="pt-BR"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Procedimento de Cálculo dos Excedentes e Parcelas da Produção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_Toc492827558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- 6 -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7559" w:history="1">
            <w:r w:rsidR="00916F59" w:rsidRPr="00916F59">
              <w:rPr>
                <w:rStyle w:val="Hyperlink"/>
                <w:noProof/>
              </w:rPr>
              <w:t>6.4.</w:t>
            </w:r>
            <w:r w:rsidR="00916F59" w:rsidRPr="00916F59">
              <w:rPr>
                <w:rFonts w:cstheme="minorBidi"/>
                <w:noProof/>
                <w:lang w:val="pt-BR"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Monitoramento do Processo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_Toc492827559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- 11 -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7560" w:history="1">
            <w:r w:rsidR="00916F59" w:rsidRPr="00916F59">
              <w:rPr>
                <w:rStyle w:val="Hyperlink"/>
                <w:noProof/>
              </w:rPr>
              <w:t>6.5.</w:t>
            </w:r>
            <w:r w:rsidR="00916F59" w:rsidRPr="00916F59">
              <w:rPr>
                <w:rFonts w:cstheme="minorBidi"/>
                <w:noProof/>
                <w:lang w:val="pt-BR"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Prazos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_Toc492827560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- 12 -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7561" w:history="1">
            <w:r w:rsidR="00916F59" w:rsidRPr="00916F59">
              <w:rPr>
                <w:rStyle w:val="Hyperlink"/>
                <w:noProof/>
              </w:rPr>
              <w:t>7.</w:t>
            </w:r>
            <w:r w:rsidR="00916F59" w:rsidRPr="00916F59">
              <w:rPr>
                <w:rFonts w:eastAsiaTheme="minorEastAsia"/>
                <w:noProof/>
                <w:lang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Índice de Revisões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_Toc492827561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- 13 -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7562" w:history="1">
            <w:r w:rsidR="00916F59" w:rsidRPr="00916F59">
              <w:rPr>
                <w:rStyle w:val="Hyperlink"/>
                <w:noProof/>
              </w:rPr>
              <w:t>8.</w:t>
            </w:r>
            <w:r w:rsidR="00916F59" w:rsidRPr="00916F59">
              <w:rPr>
                <w:rFonts w:eastAsiaTheme="minorEastAsia"/>
                <w:noProof/>
                <w:lang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Anexos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_Toc492827562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- 14 -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7563" w:history="1">
            <w:r w:rsidR="00916F59" w:rsidRPr="00916F59">
              <w:rPr>
                <w:rStyle w:val="Hyperlink"/>
                <w:noProof/>
              </w:rPr>
              <w:t>8.1.</w:t>
            </w:r>
            <w:r w:rsidR="00916F59" w:rsidRPr="00916F59">
              <w:rPr>
                <w:rFonts w:cstheme="minorBidi"/>
                <w:noProof/>
                <w:lang w:val="pt-BR"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Anexo I - Padrão de Processo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_Toc492827563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- 14 -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7564" w:history="1">
            <w:r w:rsidR="00916F59" w:rsidRPr="00916F59">
              <w:rPr>
                <w:rStyle w:val="Hyperlink"/>
                <w:noProof/>
              </w:rPr>
              <w:t>8.2.</w:t>
            </w:r>
            <w:r w:rsidR="00916F59" w:rsidRPr="00916F59">
              <w:rPr>
                <w:rFonts w:cstheme="minorBidi"/>
                <w:noProof/>
                <w:lang w:val="pt-BR"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Anexo II - Matriz de Papéis e Responsabilidades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_Toc492827564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- 15 -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7565" w:history="1">
            <w:r w:rsidR="00916F59" w:rsidRPr="00916F59">
              <w:rPr>
                <w:rStyle w:val="Hyperlink"/>
                <w:noProof/>
              </w:rPr>
              <w:t>8.3.</w:t>
            </w:r>
            <w:r w:rsidR="00916F59" w:rsidRPr="00916F59">
              <w:rPr>
                <w:rFonts w:cstheme="minorBidi"/>
                <w:noProof/>
                <w:lang w:val="pt-BR"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Anexo III - Indicadores de Performance do Processo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_Toc492827565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- 16 -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916F59" w:rsidRPr="00916F59" w:rsidRDefault="0046246A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7566" w:history="1">
            <w:r w:rsidR="00916F59" w:rsidRPr="00916F59">
              <w:rPr>
                <w:rStyle w:val="Hyperlink"/>
                <w:noProof/>
              </w:rPr>
              <w:t>8.4.</w:t>
            </w:r>
            <w:r w:rsidR="00916F59" w:rsidRPr="00916F59">
              <w:rPr>
                <w:rFonts w:cstheme="minorBidi"/>
                <w:noProof/>
                <w:lang w:val="pt-BR" w:eastAsia="pt-BR"/>
              </w:rPr>
              <w:tab/>
            </w:r>
            <w:r w:rsidR="00916F59" w:rsidRPr="00916F59">
              <w:rPr>
                <w:rStyle w:val="Hyperlink"/>
                <w:noProof/>
              </w:rPr>
              <w:t>Anexo IV - Mapa de Interface dos Processos</w:t>
            </w:r>
            <w:r w:rsidR="00916F59" w:rsidRPr="00916F59">
              <w:rPr>
                <w:noProof/>
                <w:webHidden/>
              </w:rPr>
              <w:tab/>
            </w:r>
            <w:r w:rsidR="00916F59" w:rsidRPr="00916F59">
              <w:rPr>
                <w:noProof/>
                <w:webHidden/>
              </w:rPr>
              <w:fldChar w:fldCharType="begin"/>
            </w:r>
            <w:r w:rsidR="00916F59" w:rsidRPr="00916F59">
              <w:rPr>
                <w:noProof/>
                <w:webHidden/>
              </w:rPr>
              <w:instrText xml:space="preserve"> PAGEREF _Toc492827566 \h </w:instrText>
            </w:r>
            <w:r w:rsidR="00916F59" w:rsidRPr="00916F59">
              <w:rPr>
                <w:noProof/>
                <w:webHidden/>
              </w:rPr>
            </w:r>
            <w:r w:rsidR="00916F59" w:rsidRPr="00916F59">
              <w:rPr>
                <w:noProof/>
                <w:webHidden/>
              </w:rPr>
              <w:fldChar w:fldCharType="separate"/>
            </w:r>
            <w:r w:rsidR="00916F59" w:rsidRPr="00916F59">
              <w:rPr>
                <w:noProof/>
                <w:webHidden/>
              </w:rPr>
              <w:t>- 17 -</w:t>
            </w:r>
            <w:r w:rsidR="00916F59" w:rsidRPr="00916F59">
              <w:rPr>
                <w:noProof/>
                <w:webHidden/>
              </w:rPr>
              <w:fldChar w:fldCharType="end"/>
            </w:r>
          </w:hyperlink>
        </w:p>
        <w:p w:rsidR="004C2060" w:rsidRPr="00916F59" w:rsidRDefault="004C2060" w:rsidP="00042F73">
          <w:pPr>
            <w:jc w:val="center"/>
            <w:rPr>
              <w:rFonts w:asciiTheme="minorHAnsi" w:hAnsiTheme="minorHAnsi" w:cstheme="minorHAnsi"/>
              <w:bCs/>
              <w:noProof/>
              <w:sz w:val="22"/>
              <w:szCs w:val="22"/>
            </w:rPr>
          </w:pPr>
          <w:r w:rsidRPr="00916F59">
            <w:rPr>
              <w:rFonts w:asciiTheme="minorHAnsi" w:hAnsiTheme="minorHAnsi" w:cstheme="minorHAnsi"/>
              <w:bCs/>
              <w:noProof/>
              <w:sz w:val="22"/>
              <w:szCs w:val="22"/>
            </w:rPr>
            <w:fldChar w:fldCharType="end"/>
          </w:r>
        </w:p>
      </w:sdtContent>
    </w:sdt>
    <w:p w:rsidR="00235BA2" w:rsidRPr="00916F59" w:rsidRDefault="00235BA2" w:rsidP="004C2060">
      <w:pPr>
        <w:rPr>
          <w:rFonts w:asciiTheme="minorHAnsi" w:hAnsiTheme="minorHAnsi" w:cstheme="minorHAnsi"/>
          <w:sz w:val="22"/>
          <w:szCs w:val="22"/>
        </w:rPr>
      </w:pPr>
      <w:r w:rsidRPr="00916F59">
        <w:rPr>
          <w:rFonts w:asciiTheme="minorHAnsi" w:hAnsiTheme="minorHAnsi" w:cstheme="minorHAnsi"/>
          <w:color w:val="FF0000"/>
          <w:sz w:val="22"/>
          <w:szCs w:val="22"/>
          <w:highlight w:val="yellow"/>
          <w:lang w:eastAsia="en-US"/>
        </w:rPr>
        <w:br w:type="page"/>
      </w:r>
    </w:p>
    <w:p w:rsidR="00235BA2" w:rsidRPr="00632D93" w:rsidRDefault="00235BA2" w:rsidP="007254CF">
      <w:pPr>
        <w:pStyle w:val="Style1"/>
        <w:rPr>
          <w:b/>
          <w:sz w:val="22"/>
          <w:szCs w:val="22"/>
        </w:rPr>
      </w:pPr>
      <w:bookmarkStart w:id="0" w:name="_Ref444761209"/>
      <w:bookmarkStart w:id="1" w:name="_Ref444761211"/>
      <w:bookmarkStart w:id="2" w:name="_Ref444761212"/>
      <w:bookmarkStart w:id="3" w:name="_Toc483821334"/>
      <w:bookmarkStart w:id="4" w:name="_Toc492827550"/>
      <w:r w:rsidRPr="00632D93">
        <w:rPr>
          <w:b/>
          <w:sz w:val="22"/>
          <w:szCs w:val="22"/>
        </w:rPr>
        <w:lastRenderedPageBreak/>
        <w:t>Objetivo</w:t>
      </w:r>
      <w:bookmarkEnd w:id="0"/>
      <w:bookmarkEnd w:id="1"/>
      <w:bookmarkEnd w:id="2"/>
      <w:bookmarkEnd w:id="3"/>
      <w:bookmarkEnd w:id="4"/>
    </w:p>
    <w:p w:rsidR="009B251C" w:rsidRPr="00632D93" w:rsidRDefault="009B251C" w:rsidP="009B251C">
      <w:pPr>
        <w:pStyle w:val="Corpodetexto"/>
        <w:kinsoku w:val="0"/>
        <w:overflowPunct w:val="0"/>
        <w:spacing w:line="360" w:lineRule="auto"/>
        <w:ind w:left="278" w:right="26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>O objetivo deste procedimento é detalhar a execução das etapas do subprocesso de Cálculo dos Excedentes e Parcelas da Produção de Óleo e Gás Natural, que faz parte do Processo de Acompanhamento e Controle da Produção, realizado pela Pré-</w:t>
      </w:r>
      <w:r w:rsidR="00916F59">
        <w:rPr>
          <w:rFonts w:asciiTheme="minorHAnsi" w:hAnsiTheme="minorHAnsi" w:cstheme="minorHAnsi"/>
          <w:bCs w:val="0"/>
          <w:i w:val="0"/>
          <w:iCs w:val="0"/>
          <w:szCs w:val="22"/>
        </w:rPr>
        <w:t>S</w:t>
      </w: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>al Petróleo S.A. em Projetos de Exploração e Produção (E&amp;P) submarinos em águas profundas localizados no Polígono do Pré-sal.</w:t>
      </w:r>
    </w:p>
    <w:p w:rsidR="001670D7" w:rsidRPr="00632D93" w:rsidRDefault="009B251C" w:rsidP="009B251C">
      <w:pPr>
        <w:pStyle w:val="Corpodetexto"/>
        <w:kinsoku w:val="0"/>
        <w:overflowPunct w:val="0"/>
        <w:spacing w:line="360" w:lineRule="auto"/>
        <w:ind w:left="278" w:right="26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O detalhamento neste procedimento, visa possibilitar que a execução do mesmo pela área técnica responsável seja feita em conformidade com os requisitos e métricas estabelecidos pelos Contratos dos Projetos, pela Governança da </w:t>
      </w:r>
      <w:r w:rsidR="00370CE3"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>, pelas legislações aplicáveis e pelas diretrizes das Agências Reguladoras e demais Autarquias afins.</w:t>
      </w:r>
    </w:p>
    <w:p w:rsidR="00235BA2" w:rsidRPr="00632D93" w:rsidRDefault="00235BA2" w:rsidP="007254CF">
      <w:pPr>
        <w:pStyle w:val="Style1"/>
        <w:rPr>
          <w:b/>
          <w:sz w:val="22"/>
          <w:szCs w:val="22"/>
        </w:rPr>
      </w:pPr>
      <w:bookmarkStart w:id="5" w:name="_Toc492827551"/>
      <w:r w:rsidRPr="00632D93">
        <w:rPr>
          <w:b/>
          <w:sz w:val="22"/>
          <w:szCs w:val="22"/>
        </w:rPr>
        <w:t xml:space="preserve">Aplicação e </w:t>
      </w:r>
      <w:r w:rsidR="004C2060" w:rsidRPr="00632D93">
        <w:rPr>
          <w:b/>
          <w:sz w:val="22"/>
          <w:szCs w:val="22"/>
        </w:rPr>
        <w:t>Abrangência</w:t>
      </w:r>
      <w:bookmarkEnd w:id="5"/>
    </w:p>
    <w:p w:rsidR="001670D7" w:rsidRPr="00632D93" w:rsidRDefault="009B251C" w:rsidP="00235BA2">
      <w:pPr>
        <w:pStyle w:val="Corpodetexto"/>
        <w:kinsoku w:val="0"/>
        <w:overflowPunct w:val="0"/>
        <w:spacing w:line="360" w:lineRule="auto"/>
        <w:ind w:left="357" w:right="26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Este procedimento se aplica a realização do Cálculo dos Excedentes e Parcelas da Produção de Óleo e Gás Natural para todos os Contratos de Partilha da Produção (CPPs) e Acordos de Individualização da Produção (AIPs), nos quais a </w:t>
      </w:r>
      <w:r w:rsidR="00370CE3"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é Gestora ou Sócia não operadora, seja por obrigação contratual ou seja pela obrigação legal de representar a União nos Contratos e Acordos dos Projetos de E&amp;P no Pré-sal, alcançando assim, em todos os empreendimentos de E&amp;P no Pré-sal onde a União possuir direito de participação na produção com vistas à sua comercialização.</w:t>
      </w:r>
    </w:p>
    <w:p w:rsidR="0027071E" w:rsidRPr="00632D93" w:rsidRDefault="0027071E" w:rsidP="007254CF">
      <w:pPr>
        <w:pStyle w:val="Style1"/>
        <w:rPr>
          <w:b/>
          <w:sz w:val="22"/>
          <w:szCs w:val="22"/>
        </w:rPr>
      </w:pPr>
      <w:bookmarkStart w:id="6" w:name="_Toc492827552"/>
      <w:r w:rsidRPr="00632D93">
        <w:rPr>
          <w:b/>
          <w:sz w:val="22"/>
          <w:szCs w:val="22"/>
        </w:rPr>
        <w:t>Documentos de Referência e Complementares</w:t>
      </w:r>
      <w:bookmarkEnd w:id="6"/>
    </w:p>
    <w:p w:rsidR="00632D93" w:rsidRPr="00632D93" w:rsidRDefault="00632D93" w:rsidP="00632D93">
      <w:pPr>
        <w:pStyle w:val="PargrafodaLista"/>
        <w:numPr>
          <w:ilvl w:val="0"/>
          <w:numId w:val="1"/>
        </w:num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32D93">
        <w:rPr>
          <w:rFonts w:asciiTheme="minorHAnsi" w:eastAsia="Times New Roman" w:hAnsiTheme="minorHAnsi" w:cstheme="minorHAnsi"/>
          <w:sz w:val="22"/>
          <w:szCs w:val="22"/>
        </w:rPr>
        <w:t>Procedimento de Governança da Pré-Sal Petróleo para Contratos de Partilha da Produção (PG.DGC.001)</w:t>
      </w:r>
    </w:p>
    <w:p w:rsidR="00272007" w:rsidRPr="00632D93" w:rsidRDefault="00272007" w:rsidP="00632D93">
      <w:pPr>
        <w:pStyle w:val="PargrafodaLista"/>
        <w:numPr>
          <w:ilvl w:val="0"/>
          <w:numId w:val="1"/>
        </w:num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32D93">
        <w:rPr>
          <w:rFonts w:asciiTheme="minorHAnsi" w:eastAsia="Times New Roman" w:hAnsiTheme="minorHAnsi" w:cstheme="minorHAnsi"/>
          <w:sz w:val="22"/>
          <w:szCs w:val="22"/>
        </w:rPr>
        <w:t>Sugestão de Modelo de Governança proposto pela KPMG</w:t>
      </w:r>
    </w:p>
    <w:p w:rsidR="00632D93" w:rsidRPr="00632D93" w:rsidRDefault="00632D93" w:rsidP="00632D93">
      <w:pPr>
        <w:pStyle w:val="PargrafodaLista"/>
        <w:numPr>
          <w:ilvl w:val="0"/>
          <w:numId w:val="1"/>
        </w:num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32D93">
        <w:rPr>
          <w:rFonts w:asciiTheme="minorHAnsi" w:eastAsia="Times New Roman" w:hAnsiTheme="minorHAnsi" w:cstheme="minorHAnsi"/>
          <w:sz w:val="22"/>
          <w:szCs w:val="22"/>
        </w:rPr>
        <w:t>Contratos de Partilha de Produção em vigor</w:t>
      </w:r>
    </w:p>
    <w:p w:rsidR="00632D93" w:rsidRPr="00632D93" w:rsidRDefault="00632D93" w:rsidP="00632D93">
      <w:pPr>
        <w:pStyle w:val="PargrafodaLista"/>
        <w:numPr>
          <w:ilvl w:val="0"/>
          <w:numId w:val="1"/>
        </w:num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32D93">
        <w:rPr>
          <w:rFonts w:asciiTheme="minorHAnsi" w:eastAsia="Times New Roman" w:hAnsiTheme="minorHAnsi" w:cstheme="minorHAnsi"/>
          <w:sz w:val="22"/>
          <w:szCs w:val="22"/>
        </w:rPr>
        <w:t>Acordos de Individualização da Produção (assinados) e seus Anexos</w:t>
      </w:r>
    </w:p>
    <w:p w:rsidR="00632D93" w:rsidRPr="00632D93" w:rsidRDefault="00632D93" w:rsidP="00632D93">
      <w:pPr>
        <w:pStyle w:val="PargrafodaLista"/>
        <w:numPr>
          <w:ilvl w:val="0"/>
          <w:numId w:val="1"/>
        </w:num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32D93">
        <w:rPr>
          <w:rFonts w:asciiTheme="minorHAnsi" w:eastAsia="Times New Roman" w:hAnsiTheme="minorHAnsi" w:cstheme="minorHAnsi"/>
          <w:sz w:val="22"/>
          <w:szCs w:val="22"/>
        </w:rPr>
        <w:t>Política dos Acordos de Individualização da Produção do Petróleo e do Gás Natural da União (Resolução CNPE)</w:t>
      </w:r>
    </w:p>
    <w:p w:rsidR="00632D93" w:rsidRPr="00632D93" w:rsidRDefault="00632D93" w:rsidP="00632D93">
      <w:pPr>
        <w:pStyle w:val="PargrafodaLista"/>
        <w:numPr>
          <w:ilvl w:val="0"/>
          <w:numId w:val="1"/>
        </w:num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32D93">
        <w:rPr>
          <w:rFonts w:asciiTheme="minorHAnsi" w:eastAsia="Times New Roman" w:hAnsiTheme="minorHAnsi" w:cstheme="minorHAnsi"/>
          <w:sz w:val="22"/>
          <w:szCs w:val="22"/>
        </w:rPr>
        <w:t>Lei nº 12.351, de 22 de dezembro de 2010</w:t>
      </w:r>
    </w:p>
    <w:p w:rsidR="00632D93" w:rsidRPr="00632D93" w:rsidRDefault="00632D93" w:rsidP="00632D93">
      <w:pPr>
        <w:pStyle w:val="PargrafodaLista"/>
        <w:numPr>
          <w:ilvl w:val="0"/>
          <w:numId w:val="1"/>
        </w:num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32D93">
        <w:rPr>
          <w:rFonts w:asciiTheme="minorHAnsi" w:eastAsia="Times New Roman" w:hAnsiTheme="minorHAnsi" w:cstheme="minorHAnsi"/>
          <w:sz w:val="22"/>
          <w:szCs w:val="22"/>
        </w:rPr>
        <w:t>Decreto nº 8.063, de 01 de agosto de 2013</w:t>
      </w:r>
    </w:p>
    <w:p w:rsidR="00632D93" w:rsidRPr="00632D93" w:rsidRDefault="00632D93" w:rsidP="00632D93">
      <w:pPr>
        <w:pStyle w:val="PargrafodaLista"/>
        <w:numPr>
          <w:ilvl w:val="0"/>
          <w:numId w:val="1"/>
        </w:num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32D93">
        <w:rPr>
          <w:rFonts w:asciiTheme="minorHAnsi" w:eastAsia="Times New Roman" w:hAnsiTheme="minorHAnsi" w:cstheme="minorHAnsi"/>
          <w:sz w:val="22"/>
          <w:szCs w:val="22"/>
        </w:rPr>
        <w:t>Decreto nº 2.705, de 03 de agosto de 1998</w:t>
      </w:r>
    </w:p>
    <w:p w:rsidR="00632D93" w:rsidRPr="00632D93" w:rsidRDefault="00632D93" w:rsidP="00632D93">
      <w:pPr>
        <w:pStyle w:val="PargrafodaLista"/>
        <w:numPr>
          <w:ilvl w:val="0"/>
          <w:numId w:val="1"/>
        </w:num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32D93">
        <w:rPr>
          <w:rFonts w:asciiTheme="minorHAnsi" w:eastAsia="Times New Roman" w:hAnsiTheme="minorHAnsi" w:cstheme="minorHAnsi"/>
          <w:sz w:val="22"/>
          <w:szCs w:val="22"/>
        </w:rPr>
        <w:t>Lei nº 9.478, de 06 de agosto de 1997</w:t>
      </w:r>
    </w:p>
    <w:p w:rsidR="0027071E" w:rsidRPr="00632D93" w:rsidRDefault="0027071E" w:rsidP="007254CF">
      <w:pPr>
        <w:pStyle w:val="Style1"/>
        <w:rPr>
          <w:b/>
          <w:sz w:val="22"/>
          <w:szCs w:val="22"/>
        </w:rPr>
      </w:pPr>
      <w:bookmarkStart w:id="7" w:name="_Toc492827553"/>
      <w:r w:rsidRPr="00632D93">
        <w:rPr>
          <w:b/>
          <w:sz w:val="22"/>
          <w:szCs w:val="22"/>
        </w:rPr>
        <w:lastRenderedPageBreak/>
        <w:t>Definições</w:t>
      </w:r>
      <w:bookmarkEnd w:id="7"/>
    </w:p>
    <w:tbl>
      <w:tblPr>
        <w:tblW w:w="9365" w:type="dxa"/>
        <w:tblInd w:w="3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4"/>
        <w:gridCol w:w="7921"/>
      </w:tblGrid>
      <w:tr w:rsidR="0027071E" w:rsidRPr="00632D93" w:rsidTr="00CE6C54">
        <w:trPr>
          <w:cantSplit/>
          <w:trHeight w:val="57"/>
          <w:tblHeader/>
        </w:trPr>
        <w:tc>
          <w:tcPr>
            <w:tcW w:w="1444" w:type="dxa"/>
            <w:shd w:val="clear" w:color="auto" w:fill="808080" w:themeFill="background1" w:themeFillShade="80"/>
          </w:tcPr>
          <w:p w:rsidR="0027071E" w:rsidRPr="00632D93" w:rsidRDefault="0027071E" w:rsidP="0027071E">
            <w:pPr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  <w:t>Sigla</w:t>
            </w:r>
          </w:p>
        </w:tc>
        <w:tc>
          <w:tcPr>
            <w:tcW w:w="7921" w:type="dxa"/>
            <w:shd w:val="clear" w:color="auto" w:fill="808080" w:themeFill="background1" w:themeFillShade="80"/>
          </w:tcPr>
          <w:p w:rsidR="0027071E" w:rsidRPr="00632D93" w:rsidRDefault="0027071E" w:rsidP="0027071E">
            <w:pPr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  <w:t>Descrição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AIP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Acordo de Individualização da Produção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Ali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Alíquota da partilha do Excedente em Óleo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ANP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Agência Nacional do Petróleo, Gás Natural e Biocombustíveis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CACP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Coordenação de Acompanhamento e Controle da Produção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CCO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Conta Custo em Óleo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CNPE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Conselho Nacional de Política Energética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Saldo Acumulado da Conta Custo em Óleo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CPP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Contrato de Partilha da Produção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Diretoria Executiva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DTF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Diretoria Técnica e de Fiscalização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E&amp;P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Exploração e Produção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EO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Excedente em Óleo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EPE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Empresa de Pesquisa Energética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Gerência Executiva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MME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Ministério de Minas e Energia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NN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Limite mensal para recuperação do custo em óleo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</w:t>
            </w:r>
          </w:p>
        </w:tc>
        <w:tc>
          <w:tcPr>
            <w:tcW w:w="7921" w:type="dxa"/>
            <w:vAlign w:val="bottom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Preço de Referência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RFB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Receita Federal do Brasil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Roy</w:t>
            </w:r>
          </w:p>
        </w:tc>
        <w:tc>
          <w:tcPr>
            <w:tcW w:w="7921" w:type="dxa"/>
            <w:vAlign w:val="bottom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Royalties recolhidos pelos Contratados 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SDP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Superintendência de Desenvolvimento e Produção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SEFAZ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Secretaria de Estado de Fazenda e Planejamento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370CE3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SGPP</w:t>
            </w:r>
          </w:p>
        </w:tc>
        <w:tc>
          <w:tcPr>
            <w:tcW w:w="7921" w:type="dxa"/>
            <w:vAlign w:val="center"/>
          </w:tcPr>
          <w:p w:rsidR="009B251C" w:rsidRPr="00632D93" w:rsidRDefault="00632D93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Sistema de Gestão de Gastos de Partilha de Produção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proofErr w:type="spellStart"/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UEPs</w:t>
            </w:r>
            <w:proofErr w:type="spellEnd"/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Unidades Estacionárias de Produção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VBP</w:t>
            </w:r>
          </w:p>
        </w:tc>
        <w:tc>
          <w:tcPr>
            <w:tcW w:w="7921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Valor Bruto da Produção </w:t>
            </w:r>
          </w:p>
        </w:tc>
      </w:tr>
      <w:tr w:rsidR="009B251C" w:rsidRPr="00632D93" w:rsidTr="00B471D0">
        <w:trPr>
          <w:trHeight w:val="57"/>
        </w:trPr>
        <w:tc>
          <w:tcPr>
            <w:tcW w:w="1444" w:type="dxa"/>
            <w:vAlign w:val="center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VPF</w:t>
            </w:r>
          </w:p>
        </w:tc>
        <w:tc>
          <w:tcPr>
            <w:tcW w:w="7921" w:type="dxa"/>
            <w:vAlign w:val="bottom"/>
          </w:tcPr>
          <w:p w:rsidR="009B251C" w:rsidRPr="00632D93" w:rsidRDefault="009B251C" w:rsidP="009B25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2D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Volume da Produção Fiscalizada</w:t>
            </w:r>
          </w:p>
        </w:tc>
      </w:tr>
    </w:tbl>
    <w:p w:rsidR="009B251C" w:rsidRPr="00632D93" w:rsidRDefault="009B251C" w:rsidP="009B251C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>AIP: Acordo de Individualização da Produção, acordo celebrado entre os detentores de direitos de Exploração e Produção, após a Declaração de Comercialidade, para o Desenvolvimento e Produção unificados de Jazidas que se estendam além da Área do Contrato, conforme previsto na Lei n.º 12.351/2010 e na Legislação Aplicável.</w:t>
      </w:r>
    </w:p>
    <w:p w:rsidR="009B251C" w:rsidRPr="00632D93" w:rsidRDefault="009B251C" w:rsidP="009B251C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>CPP: Contrato de Partilha de Produção, onde a propriedade do recurso permanece sob o poder do Estado e a empresa operadora é contratada para explorar e produzir petróleo e gás natural, tendo como retorno uma parcela da produção.</w:t>
      </w:r>
    </w:p>
    <w:p w:rsidR="009B251C" w:rsidRPr="00632D93" w:rsidRDefault="009B251C" w:rsidP="009B251C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>Preço de Referência do Petróleo: O Preço de Referência a ser aplicado a cada mês ao Petróleo produzido em cada Campo durante o referido mês, na condição padrão de medição, será igual à média ponderada dos preços de venda praticados por cada Consorciado, em condições normais de mercado, ou ao seu preço mínimo estabelecido pela ANP, aplicando-se o que for maior.</w:t>
      </w:r>
    </w:p>
    <w:p w:rsidR="009B251C" w:rsidRPr="00632D93" w:rsidRDefault="009B251C" w:rsidP="009B251C">
      <w:pPr>
        <w:pStyle w:val="Body"/>
        <w:spacing w:line="360" w:lineRule="auto"/>
        <w:ind w:left="1070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lastRenderedPageBreak/>
        <w:t>O preço mínimo do petróleo será calculado através da metodologia estabelecida na Portaria ANP n.º 206, de 30 de agosto de 2000.</w:t>
      </w:r>
    </w:p>
    <w:p w:rsidR="009B251C" w:rsidRPr="00632D93" w:rsidRDefault="009B251C" w:rsidP="009B251C">
      <w:pPr>
        <w:pStyle w:val="Body"/>
        <w:spacing w:line="360" w:lineRule="auto"/>
        <w:ind w:left="1070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 xml:space="preserve">A ANP publicará, a cada mês, uma consolidação do preço mínimo do petróleo extraído de cada campo no mês anterior. Portanto, a </w:t>
      </w:r>
      <w:r w:rsidR="00370CE3" w:rsidRPr="00632D93">
        <w:rPr>
          <w:rFonts w:eastAsia="Times New Roman" w:cstheme="minorHAnsi"/>
          <w:lang w:eastAsia="pt-BR"/>
        </w:rPr>
        <w:t>Pré-Sal Petróleo</w:t>
      </w:r>
      <w:r w:rsidRPr="00632D93">
        <w:rPr>
          <w:rFonts w:eastAsia="Times New Roman" w:cstheme="minorHAnsi"/>
          <w:lang w:eastAsia="pt-BR"/>
        </w:rPr>
        <w:t xml:space="preserve"> irá calcular o preço mínimo através da metodologia citada e coletar o preço mínimo publicado pela ANP para identificar qual será utilizado no cálculo.</w:t>
      </w:r>
    </w:p>
    <w:p w:rsidR="009B251C" w:rsidRPr="00632D93" w:rsidRDefault="009B251C" w:rsidP="009B251C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 xml:space="preserve">Royalties = Alíquota x Valor da Produção </w:t>
      </w:r>
    </w:p>
    <w:p w:rsidR="009B251C" w:rsidRPr="00632D93" w:rsidRDefault="009B251C" w:rsidP="009B251C">
      <w:pPr>
        <w:pStyle w:val="Body"/>
        <w:spacing w:line="360" w:lineRule="auto"/>
        <w:ind w:left="1070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>Valor da produção = Vol. Petróleo/mês (m³) x Preço referência Petróleo (R$/m³) + Vol. Gás x Preço referência Gás (R$/m³)</w:t>
      </w:r>
    </w:p>
    <w:p w:rsidR="001670D7" w:rsidRPr="00632D93" w:rsidRDefault="00370CE3" w:rsidP="009B251C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>SGPP</w:t>
      </w:r>
      <w:r w:rsidR="009B251C" w:rsidRPr="00632D93">
        <w:rPr>
          <w:rFonts w:eastAsia="Times New Roman" w:cstheme="minorHAnsi"/>
          <w:lang w:eastAsia="pt-BR"/>
        </w:rPr>
        <w:t xml:space="preserve">: </w:t>
      </w:r>
      <w:r w:rsidR="00632D93" w:rsidRPr="00632D93">
        <w:rPr>
          <w:rFonts w:eastAsia="Times New Roman" w:cstheme="minorHAnsi"/>
          <w:lang w:eastAsia="pt-BR"/>
        </w:rPr>
        <w:t>Sistema de Gestão de Gastos de Partilha de Produção</w:t>
      </w:r>
      <w:r w:rsidR="009B251C" w:rsidRPr="00632D93">
        <w:rPr>
          <w:rFonts w:eastAsia="Times New Roman" w:cstheme="minorHAnsi"/>
          <w:lang w:eastAsia="pt-BR"/>
        </w:rPr>
        <w:t xml:space="preserve"> planejado para atender ao gerenciamento dos contratos de partilha e de comercialização de petróleo e gás natural.</w:t>
      </w:r>
    </w:p>
    <w:p w:rsidR="007254CF" w:rsidRPr="00632D93" w:rsidRDefault="00235BA2" w:rsidP="007254CF">
      <w:pPr>
        <w:pStyle w:val="Style1"/>
        <w:rPr>
          <w:b/>
          <w:sz w:val="22"/>
          <w:szCs w:val="22"/>
        </w:rPr>
      </w:pPr>
      <w:bookmarkStart w:id="8" w:name="_Toc492827554"/>
      <w:r w:rsidRPr="00632D93">
        <w:rPr>
          <w:b/>
          <w:sz w:val="22"/>
          <w:szCs w:val="22"/>
        </w:rPr>
        <w:t>A</w:t>
      </w:r>
      <w:r w:rsidR="0027071E" w:rsidRPr="00632D93">
        <w:rPr>
          <w:b/>
          <w:sz w:val="22"/>
          <w:szCs w:val="22"/>
        </w:rPr>
        <w:t>utoridade e Competência</w:t>
      </w:r>
      <w:r w:rsidR="00916F59">
        <w:rPr>
          <w:b/>
          <w:sz w:val="22"/>
          <w:szCs w:val="22"/>
        </w:rPr>
        <w:t>s</w:t>
      </w:r>
      <w:bookmarkEnd w:id="8"/>
    </w:p>
    <w:p w:rsidR="007254CF" w:rsidRPr="00632D93" w:rsidRDefault="0027071E" w:rsidP="00632D93">
      <w:pPr>
        <w:pStyle w:val="Body"/>
        <w:numPr>
          <w:ilvl w:val="1"/>
          <w:numId w:val="2"/>
        </w:numPr>
        <w:rPr>
          <w:b/>
        </w:rPr>
      </w:pPr>
      <w:r w:rsidRPr="00632D93">
        <w:rPr>
          <w:b/>
        </w:rPr>
        <w:t>A</w:t>
      </w:r>
      <w:r w:rsidR="00235BA2" w:rsidRPr="00632D93">
        <w:rPr>
          <w:b/>
        </w:rPr>
        <w:t>provação e Atualização</w:t>
      </w:r>
    </w:p>
    <w:p w:rsidR="001670D7" w:rsidRPr="00632D93" w:rsidRDefault="009B251C" w:rsidP="00632D93">
      <w:pPr>
        <w:pStyle w:val="Corpodetexto"/>
        <w:kinsoku w:val="0"/>
        <w:overflowPunct w:val="0"/>
        <w:spacing w:before="120" w:line="360" w:lineRule="auto"/>
        <w:ind w:left="794" w:right="28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A versão inicial e as revisões deste documento devem ser aprovadas conforme a Estrutura de Comitês de Governança prevista no Modelo de Governança dos Processos. As revisões no procedimento e no macrofluxo do processo deverão ser realizadas simultaneamente e de acordo com o ciclo de revisões previsto pelo Plano de Revisão dos Processos, visando incorporar modificações e melhorias advindas da implantação de novos sistemas, do atendimento à novas políticas e diretrizes da empresa, além da adequação às eventuais mudanças na legislação (decretos, resoluções, instruções normativas, </w:t>
      </w:r>
      <w:proofErr w:type="spellStart"/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>etc</w:t>
      </w:r>
      <w:proofErr w:type="spellEnd"/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) por Agências Reguladoras e Autarquias da União relacionadas ao setor de Energia e Tributação (ANP, MME, EPE, CNPE, RFB, SEFAZ, </w:t>
      </w:r>
      <w:proofErr w:type="spellStart"/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>etc</w:t>
      </w:r>
      <w:proofErr w:type="spellEnd"/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>).</w:t>
      </w:r>
    </w:p>
    <w:p w:rsidR="00235BA2" w:rsidRPr="00632D93" w:rsidRDefault="00235BA2" w:rsidP="00632D93">
      <w:pPr>
        <w:pStyle w:val="Body"/>
        <w:numPr>
          <w:ilvl w:val="1"/>
          <w:numId w:val="2"/>
        </w:numPr>
        <w:rPr>
          <w:b/>
        </w:rPr>
      </w:pPr>
      <w:r w:rsidRPr="00632D93">
        <w:rPr>
          <w:b/>
        </w:rPr>
        <w:t>Responsáveis pela Execução</w:t>
      </w:r>
    </w:p>
    <w:p w:rsidR="00C96D47" w:rsidRPr="00632D93" w:rsidRDefault="009B251C" w:rsidP="00632D93">
      <w:pPr>
        <w:pStyle w:val="Corpodetexto"/>
        <w:kinsoku w:val="0"/>
        <w:overflowPunct w:val="0"/>
        <w:spacing w:before="120" w:line="360" w:lineRule="auto"/>
        <w:ind w:left="794" w:right="28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Colaboradores da </w:t>
      </w:r>
      <w:r w:rsidR="00370CE3"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subordinados à Superintendência de Desenvolvimento e Produção (SDP), que respondem à Diretoria Técnica e de Fiscalização (DTF), designados para atuar nas atividades prescritas no item </w:t>
      </w: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fldChar w:fldCharType="begin"/>
      </w: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instrText xml:space="preserve"> REF _Ref487723968 \r \h </w:instrText>
      </w:r>
      <w:r w:rsidR="00843D3F"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instrText xml:space="preserve"> \* MERGEFORMAT </w:instrText>
      </w: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</w: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fldChar w:fldCharType="separate"/>
      </w: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>6.1</w:t>
      </w: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fldChar w:fldCharType="end"/>
      </w:r>
      <w:r w:rsidRPr="00632D93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deste procedimento, assim como também para identificar não conformidades, propor e implementar ações corretivas e preventivas e identificar oportunidades de melhoria, de acordo com as atribuições, papéis e responsabilidades desse processo, detalhados ao final deste documento no Anexo II.</w:t>
      </w:r>
    </w:p>
    <w:p w:rsidR="0027071E" w:rsidRPr="00632D93" w:rsidRDefault="00235BA2" w:rsidP="007254CF">
      <w:pPr>
        <w:pStyle w:val="Style1"/>
        <w:rPr>
          <w:b/>
          <w:sz w:val="22"/>
          <w:szCs w:val="22"/>
        </w:rPr>
      </w:pPr>
      <w:bookmarkStart w:id="9" w:name="_Toc492827555"/>
      <w:r w:rsidRPr="00632D93">
        <w:rPr>
          <w:b/>
          <w:sz w:val="22"/>
          <w:szCs w:val="22"/>
        </w:rPr>
        <w:lastRenderedPageBreak/>
        <w:t>Descrição</w:t>
      </w:r>
      <w:bookmarkEnd w:id="9"/>
    </w:p>
    <w:p w:rsidR="00255FA8" w:rsidRPr="00632D93" w:rsidRDefault="00255FA8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0" w:name="_Ref487723968"/>
      <w:bookmarkStart w:id="11" w:name="_Toc492827556"/>
      <w:r w:rsidRPr="00632D93">
        <w:rPr>
          <w:b/>
          <w:sz w:val="22"/>
          <w:szCs w:val="22"/>
        </w:rPr>
        <w:t>Descrição Geral do Processo</w:t>
      </w:r>
      <w:bookmarkEnd w:id="10"/>
      <w:bookmarkEnd w:id="11"/>
    </w:p>
    <w:p w:rsidR="009B251C" w:rsidRPr="00632D93" w:rsidRDefault="009B251C" w:rsidP="009B251C">
      <w:pPr>
        <w:pStyle w:val="Body"/>
        <w:tabs>
          <w:tab w:val="left" w:pos="993"/>
        </w:tabs>
        <w:spacing w:line="360" w:lineRule="auto"/>
        <w:ind w:left="644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ab/>
        <w:t>O processo de Cálculo dos Excedentes e Parcelas da Produção é de atribuição da Coordenação de Acompanhamento e Controle da Produção (CACP) e serve como insumo para o processo do Cálculo do Excedente em Óleo da União.</w:t>
      </w:r>
    </w:p>
    <w:p w:rsidR="001670D7" w:rsidRPr="00632D93" w:rsidRDefault="009B251C" w:rsidP="009B251C">
      <w:pPr>
        <w:pStyle w:val="Body"/>
        <w:tabs>
          <w:tab w:val="left" w:pos="993"/>
        </w:tabs>
        <w:spacing w:line="360" w:lineRule="auto"/>
        <w:ind w:left="644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ab/>
        <w:t xml:space="preserve">Os insumos do processo são provenientes dos Operadores dos </w:t>
      </w:r>
      <w:proofErr w:type="spellStart"/>
      <w:r w:rsidRPr="00632D93">
        <w:rPr>
          <w:rFonts w:eastAsia="Times New Roman" w:cstheme="minorHAnsi"/>
          <w:lang w:eastAsia="pt-BR"/>
        </w:rPr>
        <w:t>CPPs</w:t>
      </w:r>
      <w:proofErr w:type="spellEnd"/>
      <w:r w:rsidRPr="00632D93">
        <w:rPr>
          <w:rFonts w:eastAsia="Times New Roman" w:cstheme="minorHAnsi"/>
          <w:lang w:eastAsia="pt-BR"/>
        </w:rPr>
        <w:t xml:space="preserve"> e </w:t>
      </w:r>
      <w:proofErr w:type="spellStart"/>
      <w:r w:rsidRPr="00632D93">
        <w:rPr>
          <w:rFonts w:eastAsia="Times New Roman" w:cstheme="minorHAnsi"/>
          <w:lang w:eastAsia="pt-BR"/>
        </w:rPr>
        <w:t>AIPs</w:t>
      </w:r>
      <w:proofErr w:type="spellEnd"/>
      <w:r w:rsidRPr="00632D93">
        <w:rPr>
          <w:rFonts w:eastAsia="Times New Roman" w:cstheme="minorHAnsi"/>
          <w:lang w:eastAsia="pt-BR"/>
        </w:rPr>
        <w:t xml:space="preserve">, das </w:t>
      </w:r>
      <w:proofErr w:type="spellStart"/>
      <w:r w:rsidRPr="00632D93">
        <w:rPr>
          <w:rFonts w:eastAsia="Times New Roman" w:cstheme="minorHAnsi"/>
          <w:lang w:eastAsia="pt-BR"/>
        </w:rPr>
        <w:t>GEs</w:t>
      </w:r>
      <w:proofErr w:type="spellEnd"/>
      <w:r w:rsidRPr="00632D93">
        <w:rPr>
          <w:rFonts w:eastAsia="Times New Roman" w:cstheme="minorHAnsi"/>
          <w:lang w:eastAsia="pt-BR"/>
        </w:rPr>
        <w:t xml:space="preserve"> dos </w:t>
      </w:r>
      <w:proofErr w:type="spellStart"/>
      <w:r w:rsidRPr="00632D93">
        <w:rPr>
          <w:rFonts w:eastAsia="Times New Roman" w:cstheme="minorHAnsi"/>
          <w:lang w:eastAsia="pt-BR"/>
        </w:rPr>
        <w:t>CPPs</w:t>
      </w:r>
      <w:proofErr w:type="spellEnd"/>
      <w:r w:rsidRPr="00632D93">
        <w:rPr>
          <w:rFonts w:eastAsia="Times New Roman" w:cstheme="minorHAnsi"/>
          <w:lang w:eastAsia="pt-BR"/>
        </w:rPr>
        <w:t xml:space="preserve"> e da própria CACP. Os dados recebidos são:</w:t>
      </w:r>
    </w:p>
    <w:p w:rsidR="009B251C" w:rsidRPr="00632D93" w:rsidRDefault="009B251C" w:rsidP="009B251C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>Dados de preços de referência, royalties, produção por poço e produtividade por poço Operadores dos CPPs);</w:t>
      </w:r>
    </w:p>
    <w:p w:rsidR="009B251C" w:rsidRPr="00632D93" w:rsidRDefault="009B251C" w:rsidP="009B251C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>Dados da produção dos AIPs (Operadores dos AIPs);</w:t>
      </w:r>
    </w:p>
    <w:p w:rsidR="009B251C" w:rsidRPr="00632D93" w:rsidRDefault="009B251C" w:rsidP="009B251C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>Valor do Limite NN vigente: dado do processo de Recuperação do Custo em Óleo (GE dos CPPs);</w:t>
      </w:r>
    </w:p>
    <w:p w:rsidR="009B251C" w:rsidRPr="00632D93" w:rsidRDefault="009B251C" w:rsidP="009B251C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>Saldo da CCO no mês anterior: dado do processo de Gestão da CCO (GE dos CPPs);</w:t>
      </w:r>
    </w:p>
    <w:p w:rsidR="001670D7" w:rsidRPr="00632D93" w:rsidRDefault="009B251C" w:rsidP="009B251C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>Dados da produção diária, mensal e históricos pelos Operadores: dados do processo de Monitoramento da Produção (CACP);</w:t>
      </w:r>
    </w:p>
    <w:p w:rsidR="009B251C" w:rsidRPr="00632D93" w:rsidRDefault="009B251C" w:rsidP="009B251C">
      <w:pPr>
        <w:pStyle w:val="Body"/>
        <w:tabs>
          <w:tab w:val="left" w:pos="993"/>
        </w:tabs>
        <w:spacing w:line="360" w:lineRule="auto"/>
        <w:ind w:left="644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ab/>
        <w:t xml:space="preserve">Com todos esses dados disponibilizados no </w:t>
      </w:r>
      <w:r w:rsidR="00370CE3" w:rsidRPr="00632D93">
        <w:rPr>
          <w:rFonts w:eastAsia="Times New Roman" w:cstheme="minorHAnsi"/>
          <w:lang w:eastAsia="pt-BR"/>
        </w:rPr>
        <w:t>SGPP</w:t>
      </w:r>
      <w:r w:rsidRPr="00632D93">
        <w:rPr>
          <w:rFonts w:eastAsia="Times New Roman" w:cstheme="minorHAnsi"/>
          <w:lang w:eastAsia="pt-BR"/>
        </w:rPr>
        <w:t>, as rotinas de cálculo mensais automáticas são acionadas pela CACP.</w:t>
      </w:r>
    </w:p>
    <w:p w:rsidR="009B251C" w:rsidRPr="00632D93" w:rsidRDefault="009B251C" w:rsidP="009B251C">
      <w:pPr>
        <w:pStyle w:val="Body"/>
        <w:tabs>
          <w:tab w:val="left" w:pos="993"/>
        </w:tabs>
        <w:spacing w:line="360" w:lineRule="auto"/>
        <w:ind w:left="644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ab/>
        <w:t xml:space="preserve">Após consolidação dos parâmetros calculados em cada contrato e suas totalizações no mês, os Relatórios Mensais dos Excedentes e Parcelas da Produção de Óleo e Gás para cada CPP e AIP são emitidos e enviados para as </w:t>
      </w:r>
      <w:proofErr w:type="spellStart"/>
      <w:r w:rsidRPr="00632D93">
        <w:rPr>
          <w:rFonts w:eastAsia="Times New Roman" w:cstheme="minorHAnsi"/>
          <w:lang w:eastAsia="pt-BR"/>
        </w:rPr>
        <w:t>GEs</w:t>
      </w:r>
      <w:proofErr w:type="spellEnd"/>
      <w:r w:rsidRPr="00632D93">
        <w:rPr>
          <w:rFonts w:eastAsia="Times New Roman" w:cstheme="minorHAnsi"/>
          <w:lang w:eastAsia="pt-BR"/>
        </w:rPr>
        <w:t xml:space="preserve"> correspondentes, que são responsáveis pelo encaminhamento aos Operadores, que por sua vez repassam aos Consorciados. Além dos relatórios mensais individuais de cada CPP e AIP, a CACP também gera o Relatório Mensal Consolidado dos Excedentes e Parcelas da Produção de Óleo e Gás de todos os contratos, com as verificações e análises pertinentes, encaminhando-o para a DE e disponibilizando-o para uso exclusivo interno da </w:t>
      </w:r>
      <w:r w:rsidR="00370CE3" w:rsidRPr="00632D93">
        <w:rPr>
          <w:rFonts w:eastAsia="Times New Roman" w:cstheme="minorHAnsi"/>
          <w:lang w:eastAsia="pt-BR"/>
        </w:rPr>
        <w:t>Pré-Sal Petróleo</w:t>
      </w:r>
      <w:r w:rsidRPr="00632D93">
        <w:rPr>
          <w:rFonts w:eastAsia="Times New Roman" w:cstheme="minorHAnsi"/>
          <w:lang w:eastAsia="pt-BR"/>
        </w:rPr>
        <w:t>.</w:t>
      </w:r>
    </w:p>
    <w:p w:rsidR="00235BA2" w:rsidRPr="00632D93" w:rsidRDefault="00235BA2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2" w:name="_Toc492827557"/>
      <w:r w:rsidRPr="00632D93">
        <w:rPr>
          <w:b/>
          <w:sz w:val="22"/>
          <w:szCs w:val="22"/>
        </w:rPr>
        <w:t xml:space="preserve">Validações e Cálculos do </w:t>
      </w:r>
      <w:r w:rsidR="00370CE3" w:rsidRPr="00632D93">
        <w:rPr>
          <w:b/>
          <w:sz w:val="22"/>
          <w:szCs w:val="22"/>
        </w:rPr>
        <w:t>SGPP</w:t>
      </w:r>
      <w:bookmarkEnd w:id="12"/>
    </w:p>
    <w:p w:rsidR="00843D3F" w:rsidRPr="00632D93" w:rsidRDefault="00843D3F" w:rsidP="00843D3F">
      <w:pPr>
        <w:pStyle w:val="Body"/>
        <w:spacing w:line="360" w:lineRule="auto"/>
        <w:ind w:left="658" w:firstLine="360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 xml:space="preserve">Os dados de insumo do processo pelos Operadores listados no item anterior, são validados pelo </w:t>
      </w:r>
      <w:r w:rsidR="00370CE3" w:rsidRPr="00632D93">
        <w:rPr>
          <w:rFonts w:eastAsia="Times New Roman" w:cstheme="minorHAnsi"/>
          <w:lang w:eastAsia="pt-BR"/>
        </w:rPr>
        <w:t>SGPP</w:t>
      </w:r>
      <w:r w:rsidRPr="00632D93">
        <w:rPr>
          <w:rFonts w:eastAsia="Times New Roman" w:cstheme="minorHAnsi"/>
          <w:lang w:eastAsia="pt-BR"/>
        </w:rPr>
        <w:t xml:space="preserve"> quanto à consistência, segundo critérios definidos pela </w:t>
      </w:r>
      <w:r w:rsidR="00370CE3" w:rsidRPr="00632D93">
        <w:rPr>
          <w:rFonts w:eastAsia="Times New Roman" w:cstheme="minorHAnsi"/>
          <w:lang w:eastAsia="pt-BR"/>
        </w:rPr>
        <w:t>Pré-Sal Petróleo</w:t>
      </w:r>
      <w:r w:rsidRPr="00632D93">
        <w:rPr>
          <w:rFonts w:eastAsia="Times New Roman" w:cstheme="minorHAnsi"/>
          <w:lang w:eastAsia="pt-BR"/>
        </w:rPr>
        <w:t xml:space="preserve"> e previamente acordados com os Operadores.</w:t>
      </w:r>
    </w:p>
    <w:p w:rsidR="00843D3F" w:rsidRPr="00632D93" w:rsidRDefault="00843D3F" w:rsidP="00843D3F">
      <w:pPr>
        <w:pStyle w:val="Body"/>
        <w:spacing w:line="360" w:lineRule="auto"/>
        <w:ind w:left="658" w:firstLine="360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lastRenderedPageBreak/>
        <w:t xml:space="preserve">Os dados de insumo do processo pela CACP, listados no item anterior, já sofreram validação pelo </w:t>
      </w:r>
      <w:r w:rsidR="00370CE3" w:rsidRPr="00632D93">
        <w:rPr>
          <w:rFonts w:eastAsia="Times New Roman" w:cstheme="minorHAnsi"/>
          <w:lang w:eastAsia="pt-BR"/>
        </w:rPr>
        <w:t>SGPP</w:t>
      </w:r>
      <w:r w:rsidRPr="00632D93">
        <w:rPr>
          <w:rFonts w:eastAsia="Times New Roman" w:cstheme="minorHAnsi"/>
          <w:lang w:eastAsia="pt-BR"/>
        </w:rPr>
        <w:t xml:space="preserve"> no processo de Monitoramento da Produção.</w:t>
      </w:r>
    </w:p>
    <w:p w:rsidR="001670D7" w:rsidRPr="00632D93" w:rsidRDefault="00843D3F" w:rsidP="00843D3F">
      <w:pPr>
        <w:pStyle w:val="Body"/>
        <w:spacing w:line="360" w:lineRule="auto"/>
        <w:ind w:left="658" w:firstLine="360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 xml:space="preserve">Os dados de insumo do processo pelas </w:t>
      </w:r>
      <w:proofErr w:type="spellStart"/>
      <w:r w:rsidRPr="00632D93">
        <w:rPr>
          <w:rFonts w:eastAsia="Times New Roman" w:cstheme="minorHAnsi"/>
          <w:lang w:eastAsia="pt-BR"/>
        </w:rPr>
        <w:t>GEs</w:t>
      </w:r>
      <w:proofErr w:type="spellEnd"/>
      <w:r w:rsidRPr="00632D93">
        <w:rPr>
          <w:rFonts w:eastAsia="Times New Roman" w:cstheme="minorHAnsi"/>
          <w:lang w:eastAsia="pt-BR"/>
        </w:rPr>
        <w:t xml:space="preserve"> dos </w:t>
      </w:r>
      <w:proofErr w:type="spellStart"/>
      <w:r w:rsidRPr="00632D93">
        <w:rPr>
          <w:rFonts w:eastAsia="Times New Roman" w:cstheme="minorHAnsi"/>
          <w:lang w:eastAsia="pt-BR"/>
        </w:rPr>
        <w:t>CPPs</w:t>
      </w:r>
      <w:proofErr w:type="spellEnd"/>
      <w:r w:rsidRPr="00632D93">
        <w:rPr>
          <w:rFonts w:eastAsia="Times New Roman" w:cstheme="minorHAnsi"/>
          <w:lang w:eastAsia="pt-BR"/>
        </w:rPr>
        <w:t xml:space="preserve">, listados no item anterior, já sofreram as validações necessárias pelo </w:t>
      </w:r>
      <w:r w:rsidR="00370CE3" w:rsidRPr="00632D93">
        <w:rPr>
          <w:rFonts w:eastAsia="Times New Roman" w:cstheme="minorHAnsi"/>
          <w:lang w:eastAsia="pt-BR"/>
        </w:rPr>
        <w:t>SGPP</w:t>
      </w:r>
      <w:r w:rsidRPr="00632D93">
        <w:rPr>
          <w:rFonts w:eastAsia="Times New Roman" w:cstheme="minorHAnsi"/>
          <w:lang w:eastAsia="pt-BR"/>
        </w:rPr>
        <w:t xml:space="preserve"> ao longo dos processos de Recuperação do Custo em Óleo e Gestão da Conta Custo em Óleo.</w:t>
      </w:r>
    </w:p>
    <w:p w:rsidR="00F47E29" w:rsidRPr="00632D93" w:rsidRDefault="00843D3F" w:rsidP="00632D93">
      <w:pPr>
        <w:pStyle w:val="Body"/>
        <w:spacing w:line="240" w:lineRule="auto"/>
        <w:ind w:left="658"/>
        <w:rPr>
          <w:rFonts w:eastAsia="Times New Roman" w:cstheme="minorHAnsi"/>
          <w:sz w:val="20"/>
          <w:lang w:eastAsia="pt-BR"/>
        </w:rPr>
      </w:pPr>
      <w:r w:rsidRPr="00632D93">
        <w:rPr>
          <w:rFonts w:cstheme="minorHAnsi"/>
          <w:noProof/>
          <w:lang w:eastAsia="pt-BR"/>
        </w:rPr>
        <w:drawing>
          <wp:inline distT="0" distB="0" distL="0" distR="0" wp14:anchorId="6237DDAD" wp14:editId="14401024">
            <wp:extent cx="5732145" cy="910590"/>
            <wp:effectExtent l="0" t="0" r="1905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7F05" w:rsidRPr="00632D93">
        <w:rPr>
          <w:rFonts w:eastAsia="Times New Roman" w:cstheme="minorHAnsi"/>
          <w:sz w:val="20"/>
          <w:lang w:eastAsia="pt-BR"/>
        </w:rPr>
        <w:t xml:space="preserve">Figura 1: Validações e Cálculos </w:t>
      </w:r>
      <w:r w:rsidR="007D2767" w:rsidRPr="00632D93">
        <w:rPr>
          <w:rFonts w:eastAsia="Times New Roman" w:cstheme="minorHAnsi"/>
          <w:sz w:val="20"/>
          <w:lang w:eastAsia="pt-BR"/>
        </w:rPr>
        <w:t>do Processo</w:t>
      </w:r>
    </w:p>
    <w:p w:rsidR="00F47E29" w:rsidRPr="00632D93" w:rsidRDefault="00F47E29" w:rsidP="00843D3F">
      <w:pPr>
        <w:pStyle w:val="Style2"/>
        <w:numPr>
          <w:ilvl w:val="1"/>
          <w:numId w:val="2"/>
        </w:numPr>
        <w:spacing w:before="240"/>
        <w:rPr>
          <w:b/>
          <w:sz w:val="22"/>
          <w:szCs w:val="22"/>
        </w:rPr>
      </w:pPr>
      <w:bookmarkStart w:id="13" w:name="_Toc492827558"/>
      <w:r w:rsidRPr="00632D93">
        <w:rPr>
          <w:b/>
          <w:sz w:val="22"/>
          <w:szCs w:val="22"/>
        </w:rPr>
        <w:t>Procedimento</w:t>
      </w:r>
      <w:r w:rsidR="00255FA8" w:rsidRPr="00632D93">
        <w:rPr>
          <w:b/>
          <w:sz w:val="22"/>
          <w:szCs w:val="22"/>
        </w:rPr>
        <w:t xml:space="preserve"> </w:t>
      </w:r>
      <w:r w:rsidR="00244CA1" w:rsidRPr="00632D93">
        <w:rPr>
          <w:b/>
          <w:sz w:val="22"/>
          <w:szCs w:val="22"/>
        </w:rPr>
        <w:t xml:space="preserve">de </w:t>
      </w:r>
      <w:r w:rsidR="00843D3F" w:rsidRPr="00632D93">
        <w:rPr>
          <w:b/>
          <w:sz w:val="22"/>
          <w:szCs w:val="22"/>
        </w:rPr>
        <w:t>Cálculo dos Excedentes e Parcelas da Produção</w:t>
      </w:r>
      <w:bookmarkEnd w:id="13"/>
    </w:p>
    <w:p w:rsidR="001670D7" w:rsidRPr="00632D93" w:rsidRDefault="00843D3F" w:rsidP="00AC191D">
      <w:pPr>
        <w:spacing w:line="360" w:lineRule="auto"/>
        <w:ind w:left="624" w:firstLine="352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O processo de Cálculo dos Excedentes e Parcelas da Produção possui os seguintes insumos provenientes de áreas internas e externas à </w:t>
      </w:r>
      <w:r w:rsidR="00370CE3" w:rsidRPr="00632D93">
        <w:rPr>
          <w:rFonts w:asciiTheme="minorHAnsi" w:hAnsiTheme="minorHAnsi" w:cstheme="minorHAnsi"/>
          <w:sz w:val="22"/>
          <w:szCs w:val="22"/>
        </w:rPr>
        <w:t>Pré-Sal Petróleo</w:t>
      </w:r>
      <w:r w:rsidRPr="00632D93">
        <w:rPr>
          <w:rFonts w:asciiTheme="minorHAnsi" w:hAnsiTheme="minorHAnsi" w:cstheme="minorHAnsi"/>
          <w:sz w:val="22"/>
          <w:szCs w:val="22"/>
        </w:rPr>
        <w:t>:</w:t>
      </w:r>
    </w:p>
    <w:p w:rsidR="00843D3F" w:rsidRPr="00632D93" w:rsidRDefault="00843D3F" w:rsidP="00E74B75">
      <w:pPr>
        <w:pStyle w:val="PargrafodaLista"/>
        <w:numPr>
          <w:ilvl w:val="0"/>
          <w:numId w:val="10"/>
        </w:numPr>
        <w:spacing w:after="200" w:line="360" w:lineRule="auto"/>
        <w:ind w:left="1401" w:hanging="425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Operadores (CPPs e AIPs):</w:t>
      </w:r>
    </w:p>
    <w:p w:rsidR="00843D3F" w:rsidRPr="00632D93" w:rsidRDefault="00843D3F" w:rsidP="00E74B75">
      <w:pPr>
        <w:pStyle w:val="PargrafodaLista"/>
        <w:numPr>
          <w:ilvl w:val="0"/>
          <w:numId w:val="8"/>
        </w:numPr>
        <w:spacing w:after="200" w:line="360" w:lineRule="auto"/>
        <w:ind w:left="2121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Dados de Preços de Referência, Royalties, Produção por Poço e Produtividade por Poço</w:t>
      </w:r>
    </w:p>
    <w:p w:rsidR="00843D3F" w:rsidRPr="00632D93" w:rsidRDefault="00843D3F" w:rsidP="00E74B75">
      <w:pPr>
        <w:pStyle w:val="PargrafodaLista"/>
        <w:numPr>
          <w:ilvl w:val="0"/>
          <w:numId w:val="8"/>
        </w:numPr>
        <w:spacing w:after="200" w:line="360" w:lineRule="auto"/>
        <w:ind w:left="2121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Dados da produção dos AIPs</w:t>
      </w:r>
    </w:p>
    <w:p w:rsidR="00843D3F" w:rsidRPr="00632D93" w:rsidRDefault="00843D3F" w:rsidP="00E74B75">
      <w:pPr>
        <w:pStyle w:val="PargrafodaLista"/>
        <w:numPr>
          <w:ilvl w:val="0"/>
          <w:numId w:val="10"/>
        </w:numPr>
        <w:spacing w:after="200" w:line="360" w:lineRule="auto"/>
        <w:ind w:left="1401" w:hanging="425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GE dos CPPs:</w:t>
      </w:r>
    </w:p>
    <w:p w:rsidR="00843D3F" w:rsidRPr="00632D93" w:rsidRDefault="00843D3F" w:rsidP="00E74B75">
      <w:pPr>
        <w:pStyle w:val="PargrafodaLista"/>
        <w:numPr>
          <w:ilvl w:val="0"/>
          <w:numId w:val="8"/>
        </w:numPr>
        <w:spacing w:after="200" w:line="360" w:lineRule="auto"/>
        <w:ind w:left="2121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Input do processo de Recuperação do Custo em Óleo (limite “NN” vigente)</w:t>
      </w:r>
    </w:p>
    <w:p w:rsidR="00843D3F" w:rsidRPr="00632D93" w:rsidRDefault="00843D3F" w:rsidP="00E74B75">
      <w:pPr>
        <w:pStyle w:val="PargrafodaLista"/>
        <w:numPr>
          <w:ilvl w:val="0"/>
          <w:numId w:val="8"/>
        </w:numPr>
        <w:spacing w:after="200" w:line="360" w:lineRule="auto"/>
        <w:ind w:left="2121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Input do processo de Gestão da CCO (saldo da CCO do mês anterior, CO</w:t>
      </w:r>
      <w:r w:rsidRPr="00632D93">
        <w:rPr>
          <w:rFonts w:asciiTheme="minorHAnsi" w:hAnsiTheme="minorHAnsi" w:cstheme="minorHAnsi"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sz w:val="22"/>
          <w:szCs w:val="22"/>
        </w:rPr>
        <w:t>)</w:t>
      </w:r>
    </w:p>
    <w:p w:rsidR="00843D3F" w:rsidRPr="00632D93" w:rsidRDefault="00843D3F" w:rsidP="00E74B75">
      <w:pPr>
        <w:pStyle w:val="PargrafodaLista"/>
        <w:numPr>
          <w:ilvl w:val="0"/>
          <w:numId w:val="10"/>
        </w:numPr>
        <w:spacing w:after="200" w:line="360" w:lineRule="auto"/>
        <w:ind w:left="1401" w:hanging="425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CACP</w:t>
      </w:r>
    </w:p>
    <w:p w:rsidR="00843D3F" w:rsidRPr="00632D93" w:rsidRDefault="00843D3F" w:rsidP="00E74B75">
      <w:pPr>
        <w:pStyle w:val="PargrafodaLista"/>
        <w:numPr>
          <w:ilvl w:val="0"/>
          <w:numId w:val="8"/>
        </w:numPr>
        <w:spacing w:after="200" w:line="360" w:lineRule="auto"/>
        <w:ind w:left="2121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Input do processo de Monitoramento da Produção (dados da produção após tratamento)</w:t>
      </w:r>
    </w:p>
    <w:p w:rsidR="00843D3F" w:rsidRPr="00632D93" w:rsidRDefault="00843D3F" w:rsidP="00843D3F">
      <w:pPr>
        <w:spacing w:line="360" w:lineRule="auto"/>
        <w:ind w:left="624" w:firstLine="352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Este processo em particular não demandará abertura de processo administrativo uma vez que não se vislumbra o recebimento de documentação, como arquivos em </w:t>
      </w:r>
      <w:proofErr w:type="spellStart"/>
      <w:r w:rsidRPr="00632D93">
        <w:rPr>
          <w:rFonts w:asciiTheme="minorHAnsi" w:hAnsiTheme="minorHAnsi" w:cstheme="minorHAnsi"/>
          <w:sz w:val="22"/>
          <w:szCs w:val="22"/>
        </w:rPr>
        <w:t>pdf</w:t>
      </w:r>
      <w:proofErr w:type="spellEnd"/>
      <w:r w:rsidRPr="00632D93">
        <w:rPr>
          <w:rFonts w:asciiTheme="minorHAnsi" w:hAnsiTheme="minorHAnsi" w:cstheme="minorHAnsi"/>
          <w:sz w:val="22"/>
          <w:szCs w:val="22"/>
        </w:rPr>
        <w:t>, além dos dados que serão inseridos no sistema.</w:t>
      </w:r>
    </w:p>
    <w:p w:rsidR="00843D3F" w:rsidRPr="00632D93" w:rsidRDefault="00843D3F" w:rsidP="00843D3F">
      <w:pPr>
        <w:spacing w:line="360" w:lineRule="auto"/>
        <w:ind w:left="624" w:firstLine="352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O processo de Cálculo dos Excedentes e Parcelas da Produção é iniciado através da atividade a seguir:</w:t>
      </w:r>
    </w:p>
    <w:p w:rsidR="00843D3F" w:rsidRPr="00632D93" w:rsidRDefault="00843D3F" w:rsidP="00843D3F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632D93">
        <w:rPr>
          <w:b/>
          <w:sz w:val="22"/>
          <w:szCs w:val="22"/>
        </w:rPr>
        <w:tab/>
        <w:t xml:space="preserve">Inclusão de dados no </w:t>
      </w:r>
      <w:r w:rsidR="00370CE3" w:rsidRPr="00632D93">
        <w:rPr>
          <w:b/>
          <w:sz w:val="22"/>
          <w:szCs w:val="22"/>
        </w:rPr>
        <w:t>SGPP</w:t>
      </w:r>
      <w:r w:rsidRPr="00632D93">
        <w:rPr>
          <w:b/>
          <w:sz w:val="22"/>
          <w:szCs w:val="22"/>
        </w:rPr>
        <w:t xml:space="preserve"> – Atividades 1 a 3, ilustradas no Padrão de Processo (Anexo I)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lastRenderedPageBreak/>
        <w:tab/>
        <w:t xml:space="preserve">A inclusão dos dados de preços de referência, royalties, produção por poço e produtividade por poço é realizada pelos Operadores dos CPPs e dados da produção de AIPs pelos Operadores dos AIPs, ambos através do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dentro do formato e prazo estipulados previamente pela </w:t>
      </w:r>
      <w:r w:rsidR="00370CE3" w:rsidRPr="00632D93">
        <w:rPr>
          <w:rFonts w:asciiTheme="minorHAnsi" w:hAnsiTheme="minorHAnsi" w:cstheme="minorHAnsi"/>
          <w:sz w:val="22"/>
          <w:szCs w:val="22"/>
        </w:rPr>
        <w:t>Pré-Sal Petróleo</w:t>
      </w:r>
      <w:r w:rsidRPr="00632D93">
        <w:rPr>
          <w:rFonts w:asciiTheme="minorHAnsi" w:hAnsiTheme="minorHAnsi" w:cstheme="minorHAnsi"/>
          <w:sz w:val="22"/>
          <w:szCs w:val="22"/>
        </w:rPr>
        <w:t>, respeitando a particularidade de cada contrato.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ab/>
        <w:t>Após a inclusão dos dados no sistema, este irá executar a validação automática (verificação de consistência) dos dados, conforme as seguintes premissas:</w:t>
      </w:r>
    </w:p>
    <w:p w:rsidR="00843D3F" w:rsidRPr="00632D93" w:rsidRDefault="00843D3F" w:rsidP="00E74B75">
      <w:pPr>
        <w:pStyle w:val="PargrafodaLista"/>
        <w:numPr>
          <w:ilvl w:val="0"/>
          <w:numId w:val="9"/>
        </w:numPr>
        <w:spacing w:after="200" w:line="360" w:lineRule="auto"/>
        <w:ind w:left="176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32D93">
        <w:rPr>
          <w:rFonts w:asciiTheme="minorHAnsi" w:eastAsia="Times New Roman" w:hAnsiTheme="minorHAnsi" w:cstheme="minorHAnsi"/>
          <w:sz w:val="22"/>
          <w:szCs w:val="22"/>
        </w:rPr>
        <w:t xml:space="preserve">Se todos os arquivos inseridos no </w:t>
      </w:r>
      <w:r w:rsidR="00370CE3" w:rsidRPr="00632D93">
        <w:rPr>
          <w:rFonts w:asciiTheme="minorHAnsi" w:eastAsia="Times New Roman" w:hAnsiTheme="minorHAnsi" w:cstheme="minorHAnsi"/>
          <w:sz w:val="22"/>
          <w:szCs w:val="22"/>
        </w:rPr>
        <w:t>SGPP</w:t>
      </w:r>
      <w:r w:rsidRPr="00632D93">
        <w:rPr>
          <w:rFonts w:asciiTheme="minorHAnsi" w:eastAsia="Times New Roman" w:hAnsiTheme="minorHAnsi" w:cstheme="minorHAnsi"/>
          <w:sz w:val="22"/>
          <w:szCs w:val="22"/>
        </w:rPr>
        <w:t xml:space="preserve"> foram carregados e possuem informações (não são arquivos vazios);</w:t>
      </w:r>
    </w:p>
    <w:p w:rsidR="00843D3F" w:rsidRPr="00632D93" w:rsidRDefault="00843D3F" w:rsidP="00E74B75">
      <w:pPr>
        <w:pStyle w:val="PargrafodaLista"/>
        <w:numPr>
          <w:ilvl w:val="0"/>
          <w:numId w:val="9"/>
        </w:numPr>
        <w:spacing w:after="200" w:line="360" w:lineRule="auto"/>
        <w:ind w:left="176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32D93">
        <w:rPr>
          <w:rFonts w:asciiTheme="minorHAnsi" w:eastAsia="Times New Roman" w:hAnsiTheme="minorHAnsi" w:cstheme="minorHAnsi"/>
          <w:sz w:val="22"/>
          <w:szCs w:val="22"/>
        </w:rPr>
        <w:t>Se todos os arquivos estão no formato acordado; e</w:t>
      </w:r>
    </w:p>
    <w:p w:rsidR="00843D3F" w:rsidRPr="00632D93" w:rsidRDefault="00843D3F" w:rsidP="00E74B75">
      <w:pPr>
        <w:pStyle w:val="PargrafodaLista"/>
        <w:numPr>
          <w:ilvl w:val="0"/>
          <w:numId w:val="9"/>
        </w:numPr>
        <w:spacing w:line="360" w:lineRule="auto"/>
        <w:ind w:left="1763" w:hanging="35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32D93">
        <w:rPr>
          <w:rFonts w:asciiTheme="minorHAnsi" w:eastAsia="Times New Roman" w:hAnsiTheme="minorHAnsi" w:cstheme="minorHAnsi"/>
          <w:sz w:val="22"/>
          <w:szCs w:val="22"/>
        </w:rPr>
        <w:t xml:space="preserve">Se o conteúdo de todos os arquivos possui seus campos preenchidos no formato, unidade e precisão, </w:t>
      </w:r>
      <w:proofErr w:type="spellStart"/>
      <w:r w:rsidRPr="00632D93">
        <w:rPr>
          <w:rFonts w:asciiTheme="minorHAnsi" w:eastAsia="Times New Roman" w:hAnsiTheme="minorHAnsi" w:cstheme="minorHAnsi"/>
          <w:sz w:val="22"/>
          <w:szCs w:val="22"/>
        </w:rPr>
        <w:t>etc</w:t>
      </w:r>
      <w:proofErr w:type="spellEnd"/>
      <w:r w:rsidRPr="00632D93">
        <w:rPr>
          <w:rFonts w:asciiTheme="minorHAnsi" w:eastAsia="Times New Roman" w:hAnsiTheme="minorHAnsi" w:cstheme="minorHAnsi"/>
          <w:sz w:val="22"/>
          <w:szCs w:val="22"/>
        </w:rPr>
        <w:t>, conforme critérios acordados.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Caso os dados não sejam validados, o sistema retornará ao Operador uma mensagem de erro e/ou carregamento de dados não concluído ao Operador que deverá realizar as correções necessárias, conforme indicação da validação sistêmica e carregar os dados novamente.</w:t>
      </w:r>
    </w:p>
    <w:p w:rsidR="00843D3F" w:rsidRPr="00632D93" w:rsidRDefault="00843D3F" w:rsidP="00843D3F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632D93">
        <w:rPr>
          <w:b/>
          <w:sz w:val="22"/>
          <w:szCs w:val="22"/>
        </w:rPr>
        <w:t xml:space="preserve">Disponibilização Sistêmica de Dados de Insumo dos Processos </w:t>
      </w:r>
      <w:r w:rsidR="00370CE3" w:rsidRPr="00632D93">
        <w:rPr>
          <w:b/>
          <w:sz w:val="22"/>
          <w:szCs w:val="22"/>
        </w:rPr>
        <w:t>Pré-Sal Petróleo</w:t>
      </w:r>
      <w:r w:rsidRPr="00632D93">
        <w:rPr>
          <w:b/>
          <w:sz w:val="22"/>
          <w:szCs w:val="22"/>
        </w:rPr>
        <w:t xml:space="preserve"> – Atividades 4 a 7, ilustradas no Padrão de Processo (Anexo I)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Na sequência, os dados de insumo vindos dos processos internos da </w:t>
      </w:r>
      <w:r w:rsidR="00370CE3" w:rsidRPr="00632D93">
        <w:rPr>
          <w:rFonts w:asciiTheme="minorHAnsi" w:hAnsiTheme="minorHAnsi" w:cstheme="minorHAnsi"/>
          <w:sz w:val="22"/>
          <w:szCs w:val="22"/>
        </w:rPr>
        <w:t>Pré-Sal Petróleo</w:t>
      </w:r>
      <w:r w:rsidRPr="00632D93">
        <w:rPr>
          <w:rFonts w:asciiTheme="minorHAnsi" w:hAnsiTheme="minorHAnsi" w:cstheme="minorHAnsi"/>
          <w:sz w:val="22"/>
          <w:szCs w:val="22"/>
        </w:rPr>
        <w:t xml:space="preserve"> também serão disponibilizados no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para permitir o acionamento das rotinas automáticas de cálculo, conforme abaixo:</w:t>
      </w:r>
    </w:p>
    <w:p w:rsidR="00843D3F" w:rsidRPr="00632D93" w:rsidRDefault="00843D3F" w:rsidP="00E74B75">
      <w:pPr>
        <w:pStyle w:val="PargrafodaLista"/>
        <w:numPr>
          <w:ilvl w:val="0"/>
          <w:numId w:val="11"/>
        </w:numPr>
        <w:spacing w:after="200" w:line="360" w:lineRule="auto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Valor do Limite NN vigente – obtido através do processo Recuperação do Custo em Óleo sob responsabilidade da GE dos CPPs;</w:t>
      </w:r>
    </w:p>
    <w:p w:rsidR="00843D3F" w:rsidRPr="00632D93" w:rsidRDefault="00843D3F" w:rsidP="00E74B75">
      <w:pPr>
        <w:pStyle w:val="PargrafodaLista"/>
        <w:numPr>
          <w:ilvl w:val="0"/>
          <w:numId w:val="11"/>
        </w:numPr>
        <w:spacing w:after="200" w:line="360" w:lineRule="auto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Saldo da CCO no mês anterior (CO</w:t>
      </w:r>
      <w:r w:rsidRPr="00632D93">
        <w:rPr>
          <w:rFonts w:asciiTheme="minorHAnsi" w:hAnsiTheme="minorHAnsi" w:cstheme="minorHAnsi"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sz w:val="22"/>
          <w:szCs w:val="22"/>
        </w:rPr>
        <w:t>) – obtido através do processo de Gestão da Conta Custo em Óleo sob responsabilidade da GE dos CPPs;</w:t>
      </w:r>
    </w:p>
    <w:p w:rsidR="00843D3F" w:rsidRPr="00632D93" w:rsidRDefault="00843D3F" w:rsidP="00E74B75">
      <w:pPr>
        <w:pStyle w:val="PargrafodaLista"/>
        <w:numPr>
          <w:ilvl w:val="0"/>
          <w:numId w:val="11"/>
        </w:numPr>
        <w:spacing w:after="200" w:line="360" w:lineRule="auto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Dados da produção diária, mensal e históricos pelos Operadores – obtidos na saída do processo de Monitoramento da Produção (CPPs e AIPs) sob responsabilidade da CACP, após verificações, tratamentos e esclarecimentos com os Operadores.</w:t>
      </w:r>
    </w:p>
    <w:p w:rsidR="00843D3F" w:rsidRPr="00632D93" w:rsidRDefault="00843D3F" w:rsidP="00843D3F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632D93">
        <w:rPr>
          <w:b/>
          <w:sz w:val="22"/>
          <w:szCs w:val="22"/>
        </w:rPr>
        <w:t>Rotina de Cálculo Automática I (CPP) – Atividades 8 a 11, ilustradas no Padrão de Processo (Anexo I)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lastRenderedPageBreak/>
        <w:t xml:space="preserve">Com todos os dados necessários como insumo disponibilizados no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>, conforme descrito no item anterior, a Rotina de Cálculo Automática I segue da seguinte forma:</w:t>
      </w:r>
    </w:p>
    <w:p w:rsidR="00843D3F" w:rsidRPr="00632D93" w:rsidRDefault="00843D3F" w:rsidP="00E74B75">
      <w:pPr>
        <w:pStyle w:val="PargrafodaLista"/>
        <w:numPr>
          <w:ilvl w:val="0"/>
          <w:numId w:val="12"/>
        </w:numPr>
        <w:spacing w:after="200" w:line="360" w:lineRule="auto"/>
        <w:ind w:left="1701" w:hanging="477"/>
        <w:rPr>
          <w:rFonts w:asciiTheme="minorHAnsi" w:hAnsiTheme="minorHAnsi" w:cstheme="minorHAnsi"/>
          <w:bCs/>
          <w:sz w:val="22"/>
          <w:szCs w:val="22"/>
        </w:rPr>
      </w:pPr>
      <w:r w:rsidRPr="00632D93">
        <w:rPr>
          <w:rFonts w:asciiTheme="minorHAnsi" w:hAnsiTheme="minorHAnsi" w:cstheme="minorHAnsi"/>
          <w:bCs/>
          <w:sz w:val="22"/>
          <w:szCs w:val="22"/>
        </w:rPr>
        <w:t xml:space="preserve">Calcular </w:t>
      </w:r>
      <w:proofErr w:type="spellStart"/>
      <w:r w:rsidRPr="00632D93">
        <w:rPr>
          <w:rFonts w:asciiTheme="minorHAnsi" w:hAnsiTheme="minorHAnsi" w:cstheme="minorHAnsi"/>
          <w:bCs/>
          <w:sz w:val="22"/>
          <w:szCs w:val="22"/>
        </w:rPr>
        <w:t>VBP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m</w:t>
      </w:r>
      <w:proofErr w:type="spellEnd"/>
      <w:r w:rsidRPr="00632D93">
        <w:rPr>
          <w:rFonts w:asciiTheme="minorHAnsi" w:hAnsiTheme="minorHAnsi" w:cstheme="minorHAnsi"/>
          <w:bCs/>
          <w:sz w:val="22"/>
          <w:szCs w:val="22"/>
        </w:rPr>
        <w:t xml:space="preserve"> (Valor Bruto da Produção do mês corrente “m”) de cada CPP, através da fórmula:</w:t>
      </w:r>
    </w:p>
    <w:p w:rsidR="00843D3F" w:rsidRPr="00632D93" w:rsidRDefault="00843D3F" w:rsidP="00843D3F">
      <w:pPr>
        <w:pStyle w:val="PargrafodaLista"/>
        <w:spacing w:line="360" w:lineRule="auto"/>
        <w:ind w:left="1722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632D93">
        <w:rPr>
          <w:rFonts w:asciiTheme="minorHAnsi" w:hAnsiTheme="minorHAnsi" w:cstheme="minorHAnsi"/>
          <w:bCs/>
          <w:sz w:val="22"/>
          <w:szCs w:val="22"/>
        </w:rPr>
        <w:t>VBP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m</w:t>
      </w:r>
      <w:proofErr w:type="spellEnd"/>
      <w:r w:rsidRPr="00632D93">
        <w:rPr>
          <w:rFonts w:asciiTheme="minorHAnsi" w:hAnsiTheme="minorHAnsi" w:cstheme="minorHAnsi"/>
          <w:bCs/>
          <w:sz w:val="22"/>
          <w:szCs w:val="22"/>
        </w:rPr>
        <w:t xml:space="preserve"> = </w:t>
      </w:r>
      <w:proofErr w:type="spellStart"/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VPF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p,m</w:t>
      </w:r>
      <w:proofErr w:type="spellEnd"/>
      <w:proofErr w:type="gramEnd"/>
      <w:r w:rsidRPr="00632D93">
        <w:rPr>
          <w:rFonts w:asciiTheme="minorHAnsi" w:hAnsiTheme="minorHAnsi" w:cstheme="minorHAnsi"/>
          <w:bCs/>
          <w:sz w:val="22"/>
          <w:szCs w:val="22"/>
        </w:rPr>
        <w:t xml:space="preserve"> . </w:t>
      </w:r>
      <w:proofErr w:type="spellStart"/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PR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p,m</w:t>
      </w:r>
      <w:proofErr w:type="spellEnd"/>
      <w:proofErr w:type="gramEnd"/>
      <w:r w:rsidRPr="00632D93">
        <w:rPr>
          <w:rFonts w:asciiTheme="minorHAnsi" w:hAnsiTheme="minorHAnsi" w:cstheme="minorHAnsi"/>
          <w:bCs/>
          <w:sz w:val="22"/>
          <w:szCs w:val="22"/>
        </w:rPr>
        <w:t xml:space="preserve"> + </w:t>
      </w:r>
      <w:proofErr w:type="spellStart"/>
      <w:r w:rsidRPr="00632D93">
        <w:rPr>
          <w:rFonts w:asciiTheme="minorHAnsi" w:hAnsiTheme="minorHAnsi" w:cstheme="minorHAnsi"/>
          <w:bCs/>
          <w:sz w:val="22"/>
          <w:szCs w:val="22"/>
        </w:rPr>
        <w:t>VPF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g,m</w:t>
      </w:r>
      <w:proofErr w:type="spellEnd"/>
      <w:r w:rsidRPr="00632D93">
        <w:rPr>
          <w:rFonts w:asciiTheme="minorHAnsi" w:hAnsiTheme="minorHAnsi" w:cstheme="minorHAnsi"/>
          <w:bCs/>
          <w:sz w:val="22"/>
          <w:szCs w:val="22"/>
        </w:rPr>
        <w:t xml:space="preserve"> . </w:t>
      </w:r>
      <w:proofErr w:type="spellStart"/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PRP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g,m</w:t>
      </w:r>
      <w:proofErr w:type="spellEnd"/>
      <w:proofErr w:type="gramEnd"/>
    </w:p>
    <w:p w:rsidR="00843D3F" w:rsidRPr="00632D93" w:rsidRDefault="00843D3F" w:rsidP="00843D3F">
      <w:pPr>
        <w:pStyle w:val="PargrafodaLista"/>
        <w:spacing w:line="360" w:lineRule="auto"/>
        <w:ind w:left="1736"/>
        <w:rPr>
          <w:rFonts w:asciiTheme="minorHAnsi" w:hAnsiTheme="minorHAnsi" w:cstheme="minorHAnsi"/>
          <w:bCs/>
          <w:sz w:val="22"/>
          <w:szCs w:val="22"/>
        </w:rPr>
      </w:pPr>
      <w:r w:rsidRPr="00632D93">
        <w:rPr>
          <w:rFonts w:asciiTheme="minorHAnsi" w:hAnsiTheme="minorHAnsi" w:cstheme="minorHAnsi"/>
          <w:bCs/>
          <w:sz w:val="22"/>
          <w:szCs w:val="22"/>
        </w:rPr>
        <w:t>Em que:</w:t>
      </w:r>
    </w:p>
    <w:p w:rsidR="00843D3F" w:rsidRPr="00632D93" w:rsidRDefault="00843D3F" w:rsidP="00843D3F">
      <w:pPr>
        <w:pStyle w:val="PargrafodaLista"/>
        <w:spacing w:line="360" w:lineRule="auto"/>
        <w:ind w:left="2127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632D93">
        <w:rPr>
          <w:rFonts w:asciiTheme="minorHAnsi" w:hAnsiTheme="minorHAnsi" w:cstheme="minorHAnsi"/>
          <w:bCs/>
          <w:sz w:val="22"/>
          <w:szCs w:val="22"/>
        </w:rPr>
        <w:t>VBP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m</w:t>
      </w:r>
      <w:proofErr w:type="spellEnd"/>
      <w:r w:rsidRPr="00632D93">
        <w:rPr>
          <w:rFonts w:asciiTheme="minorHAnsi" w:hAnsiTheme="minorHAnsi" w:cstheme="minorHAnsi"/>
          <w:bCs/>
          <w:sz w:val="22"/>
          <w:szCs w:val="22"/>
        </w:rPr>
        <w:t>: Valor Bruto da Produção do mês “m”;</w:t>
      </w:r>
    </w:p>
    <w:p w:rsidR="00843D3F" w:rsidRPr="00632D93" w:rsidRDefault="00843D3F" w:rsidP="00843D3F">
      <w:pPr>
        <w:pStyle w:val="PargrafodaLista"/>
        <w:spacing w:line="360" w:lineRule="auto"/>
        <w:ind w:left="2127"/>
        <w:rPr>
          <w:rFonts w:asciiTheme="minorHAnsi" w:hAnsiTheme="minorHAnsi" w:cstheme="minorHAnsi"/>
          <w:bCs/>
          <w:sz w:val="22"/>
          <w:szCs w:val="22"/>
        </w:rPr>
      </w:pPr>
      <w:proofErr w:type="spellStart"/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VPF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p,m</w:t>
      </w:r>
      <w:proofErr w:type="spellEnd"/>
      <w:proofErr w:type="gramEnd"/>
      <w:r w:rsidRPr="00632D93">
        <w:rPr>
          <w:rFonts w:asciiTheme="minorHAnsi" w:hAnsiTheme="minorHAnsi" w:cstheme="minorHAnsi"/>
          <w:bCs/>
          <w:sz w:val="22"/>
          <w:szCs w:val="22"/>
        </w:rPr>
        <w:t>: Volume da Produção Fiscalizada de petróleo para o mês “m”, em metros cúbicos;</w:t>
      </w:r>
    </w:p>
    <w:p w:rsidR="00843D3F" w:rsidRPr="00632D93" w:rsidRDefault="00843D3F" w:rsidP="00843D3F">
      <w:pPr>
        <w:pStyle w:val="PargrafodaLista"/>
        <w:spacing w:line="360" w:lineRule="auto"/>
        <w:ind w:left="2127"/>
        <w:rPr>
          <w:rFonts w:asciiTheme="minorHAnsi" w:hAnsiTheme="minorHAnsi" w:cstheme="minorHAnsi"/>
          <w:bCs/>
          <w:sz w:val="22"/>
          <w:szCs w:val="22"/>
        </w:rPr>
      </w:pPr>
      <w:proofErr w:type="spellStart"/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PR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p,m</w:t>
      </w:r>
      <w:proofErr w:type="spellEnd"/>
      <w:proofErr w:type="gramEnd"/>
      <w:r w:rsidRPr="00632D93">
        <w:rPr>
          <w:rFonts w:asciiTheme="minorHAnsi" w:hAnsiTheme="minorHAnsi" w:cstheme="minorHAnsi"/>
          <w:bCs/>
          <w:sz w:val="22"/>
          <w:szCs w:val="22"/>
        </w:rPr>
        <w:t>: Preço de Referência do Petróleo no mês “m”;</w:t>
      </w:r>
    </w:p>
    <w:p w:rsidR="00843D3F" w:rsidRPr="00632D93" w:rsidRDefault="00843D3F" w:rsidP="00843D3F">
      <w:pPr>
        <w:pStyle w:val="PargrafodaLista"/>
        <w:spacing w:line="360" w:lineRule="auto"/>
        <w:ind w:left="2127"/>
        <w:rPr>
          <w:rFonts w:asciiTheme="minorHAnsi" w:hAnsiTheme="minorHAnsi" w:cstheme="minorHAnsi"/>
          <w:bCs/>
          <w:sz w:val="22"/>
          <w:szCs w:val="22"/>
        </w:rPr>
      </w:pPr>
      <w:proofErr w:type="spellStart"/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VPF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g,m</w:t>
      </w:r>
      <w:proofErr w:type="spellEnd"/>
      <w:proofErr w:type="gramEnd"/>
      <w:r w:rsidRPr="00632D93">
        <w:rPr>
          <w:rFonts w:asciiTheme="minorHAnsi" w:hAnsiTheme="minorHAnsi" w:cstheme="minorHAnsi"/>
          <w:bCs/>
          <w:sz w:val="22"/>
          <w:szCs w:val="22"/>
        </w:rPr>
        <w:t>: Volume da Produção Fiscalizada de gás natural no mês “m” em metros cúbicos;</w:t>
      </w:r>
    </w:p>
    <w:p w:rsidR="00843D3F" w:rsidRPr="00632D93" w:rsidRDefault="00843D3F" w:rsidP="00843D3F">
      <w:pPr>
        <w:pStyle w:val="PargrafodaLista"/>
        <w:spacing w:line="360" w:lineRule="auto"/>
        <w:ind w:left="2127"/>
        <w:rPr>
          <w:rFonts w:asciiTheme="minorHAnsi" w:hAnsiTheme="minorHAnsi" w:cstheme="minorHAnsi"/>
          <w:bCs/>
          <w:sz w:val="22"/>
          <w:szCs w:val="22"/>
        </w:rPr>
      </w:pPr>
      <w:proofErr w:type="spellStart"/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PR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g,m</w:t>
      </w:r>
      <w:proofErr w:type="spellEnd"/>
      <w:proofErr w:type="gramEnd"/>
      <w:r w:rsidRPr="00632D93">
        <w:rPr>
          <w:rFonts w:asciiTheme="minorHAnsi" w:hAnsiTheme="minorHAnsi" w:cstheme="minorHAnsi"/>
          <w:bCs/>
          <w:sz w:val="22"/>
          <w:szCs w:val="22"/>
        </w:rPr>
        <w:t>: Preço de Referência do gás natural produzido no mês “m”</w:t>
      </w:r>
    </w:p>
    <w:p w:rsidR="00843D3F" w:rsidRPr="00632D93" w:rsidRDefault="00843D3F" w:rsidP="00E74B75">
      <w:pPr>
        <w:pStyle w:val="PargrafodaLista"/>
        <w:numPr>
          <w:ilvl w:val="0"/>
          <w:numId w:val="12"/>
        </w:numPr>
        <w:spacing w:after="200" w:line="360" w:lineRule="auto"/>
        <w:ind w:left="1701" w:hanging="477"/>
        <w:rPr>
          <w:rFonts w:asciiTheme="minorHAnsi" w:hAnsiTheme="minorHAnsi" w:cstheme="minorHAnsi"/>
          <w:bCs/>
          <w:sz w:val="22"/>
          <w:szCs w:val="22"/>
        </w:rPr>
      </w:pPr>
      <w:r w:rsidRPr="00632D93">
        <w:rPr>
          <w:rFonts w:asciiTheme="minorHAnsi" w:hAnsiTheme="minorHAnsi" w:cstheme="minorHAnsi"/>
          <w:bCs/>
          <w:sz w:val="22"/>
          <w:szCs w:val="22"/>
        </w:rPr>
        <w:t>Calcular VBP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bCs/>
          <w:sz w:val="22"/>
          <w:szCs w:val="22"/>
        </w:rPr>
        <w:t xml:space="preserve"> (Valor Bruto da Produção do mês anterior “m-1”) de cada CPP, através da fórmula:</w:t>
      </w:r>
    </w:p>
    <w:p w:rsidR="00843D3F" w:rsidRPr="00632D93" w:rsidRDefault="00843D3F" w:rsidP="00843D3F">
      <w:pPr>
        <w:pStyle w:val="PargrafodaLista"/>
        <w:spacing w:line="360" w:lineRule="auto"/>
        <w:ind w:left="1722"/>
        <w:rPr>
          <w:rFonts w:asciiTheme="minorHAnsi" w:hAnsiTheme="minorHAnsi" w:cstheme="minorHAnsi"/>
          <w:bCs/>
          <w:sz w:val="22"/>
          <w:szCs w:val="22"/>
        </w:rPr>
      </w:pPr>
      <w:r w:rsidRPr="00632D93">
        <w:rPr>
          <w:rFonts w:asciiTheme="minorHAnsi" w:hAnsiTheme="minorHAnsi" w:cstheme="minorHAnsi"/>
          <w:bCs/>
          <w:sz w:val="22"/>
          <w:szCs w:val="22"/>
        </w:rPr>
        <w:t>VBP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bCs/>
          <w:sz w:val="22"/>
          <w:szCs w:val="22"/>
        </w:rPr>
        <w:t xml:space="preserve"> = </w:t>
      </w:r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VPF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p,m</w:t>
      </w:r>
      <w:proofErr w:type="gramEnd"/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-1</w:t>
      </w:r>
      <w:r w:rsidRPr="00632D93">
        <w:rPr>
          <w:rFonts w:asciiTheme="minorHAnsi" w:hAnsiTheme="minorHAnsi" w:cstheme="minorHAnsi"/>
          <w:bCs/>
          <w:sz w:val="22"/>
          <w:szCs w:val="22"/>
        </w:rPr>
        <w:t xml:space="preserve"> . </w:t>
      </w:r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PR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p,m</w:t>
      </w:r>
      <w:proofErr w:type="gramEnd"/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-1</w:t>
      </w:r>
      <w:r w:rsidRPr="00632D93">
        <w:rPr>
          <w:rFonts w:asciiTheme="minorHAnsi" w:hAnsiTheme="minorHAnsi" w:cstheme="minorHAnsi"/>
          <w:bCs/>
          <w:sz w:val="22"/>
          <w:szCs w:val="22"/>
        </w:rPr>
        <w:t xml:space="preserve"> + VPF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g,m-1</w:t>
      </w:r>
      <w:r w:rsidRPr="00632D93">
        <w:rPr>
          <w:rFonts w:asciiTheme="minorHAnsi" w:hAnsiTheme="minorHAnsi" w:cstheme="minorHAnsi"/>
          <w:bCs/>
          <w:sz w:val="22"/>
          <w:szCs w:val="22"/>
        </w:rPr>
        <w:t xml:space="preserve"> . </w:t>
      </w:r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PRP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g,m</w:t>
      </w:r>
      <w:proofErr w:type="gramEnd"/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-1</w:t>
      </w:r>
    </w:p>
    <w:p w:rsidR="00843D3F" w:rsidRPr="00632D93" w:rsidRDefault="00843D3F" w:rsidP="00843D3F">
      <w:pPr>
        <w:pStyle w:val="PargrafodaLista"/>
        <w:spacing w:line="360" w:lineRule="auto"/>
        <w:ind w:left="1736"/>
        <w:rPr>
          <w:rFonts w:asciiTheme="minorHAnsi" w:hAnsiTheme="minorHAnsi" w:cstheme="minorHAnsi"/>
          <w:bCs/>
          <w:sz w:val="22"/>
          <w:szCs w:val="22"/>
        </w:rPr>
      </w:pPr>
      <w:r w:rsidRPr="00632D93">
        <w:rPr>
          <w:rFonts w:asciiTheme="minorHAnsi" w:hAnsiTheme="minorHAnsi" w:cstheme="minorHAnsi"/>
          <w:bCs/>
          <w:sz w:val="22"/>
          <w:szCs w:val="22"/>
        </w:rPr>
        <w:t>Em que:</w:t>
      </w:r>
    </w:p>
    <w:p w:rsidR="00843D3F" w:rsidRPr="00632D93" w:rsidRDefault="00843D3F" w:rsidP="00843D3F">
      <w:pPr>
        <w:pStyle w:val="PargrafodaLista"/>
        <w:spacing w:line="360" w:lineRule="auto"/>
        <w:ind w:left="2127"/>
        <w:rPr>
          <w:rFonts w:asciiTheme="minorHAnsi" w:hAnsiTheme="minorHAnsi" w:cstheme="minorHAnsi"/>
          <w:bCs/>
          <w:sz w:val="22"/>
          <w:szCs w:val="22"/>
        </w:rPr>
      </w:pPr>
      <w:r w:rsidRPr="00632D93">
        <w:rPr>
          <w:rFonts w:asciiTheme="minorHAnsi" w:hAnsiTheme="minorHAnsi" w:cstheme="minorHAnsi"/>
          <w:bCs/>
          <w:sz w:val="22"/>
          <w:szCs w:val="22"/>
        </w:rPr>
        <w:t>VBP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bCs/>
          <w:sz w:val="22"/>
          <w:szCs w:val="22"/>
        </w:rPr>
        <w:t>: Valor Bruto da Produção do mês “m-1”;</w:t>
      </w:r>
    </w:p>
    <w:p w:rsidR="00843D3F" w:rsidRPr="00632D93" w:rsidRDefault="00843D3F" w:rsidP="00843D3F">
      <w:pPr>
        <w:pStyle w:val="PargrafodaLista"/>
        <w:spacing w:line="360" w:lineRule="auto"/>
        <w:ind w:left="2127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VPF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p,m</w:t>
      </w:r>
      <w:proofErr w:type="gramEnd"/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-1</w:t>
      </w:r>
      <w:r w:rsidRPr="00632D93">
        <w:rPr>
          <w:rFonts w:asciiTheme="minorHAnsi" w:hAnsiTheme="minorHAnsi" w:cstheme="minorHAnsi"/>
          <w:bCs/>
          <w:sz w:val="22"/>
          <w:szCs w:val="22"/>
        </w:rPr>
        <w:t>: Volume da Produção Fiscalizada de petróleo para o mês “m -1”, em metros cúbicos;</w:t>
      </w:r>
    </w:p>
    <w:p w:rsidR="00843D3F" w:rsidRPr="00632D93" w:rsidRDefault="00843D3F" w:rsidP="00843D3F">
      <w:pPr>
        <w:pStyle w:val="PargrafodaLista"/>
        <w:spacing w:line="360" w:lineRule="auto"/>
        <w:ind w:left="2127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PR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p,m</w:t>
      </w:r>
      <w:proofErr w:type="gramEnd"/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-1</w:t>
      </w:r>
      <w:r w:rsidRPr="00632D93">
        <w:rPr>
          <w:rFonts w:asciiTheme="minorHAnsi" w:hAnsiTheme="minorHAnsi" w:cstheme="minorHAnsi"/>
          <w:bCs/>
          <w:sz w:val="22"/>
          <w:szCs w:val="22"/>
        </w:rPr>
        <w:t>: Preço de Referência do Petróleo no mês “m-1”;</w:t>
      </w:r>
    </w:p>
    <w:p w:rsidR="00843D3F" w:rsidRPr="00632D93" w:rsidRDefault="00843D3F" w:rsidP="00843D3F">
      <w:pPr>
        <w:pStyle w:val="PargrafodaLista"/>
        <w:spacing w:line="360" w:lineRule="auto"/>
        <w:ind w:left="2127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VPF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g,m</w:t>
      </w:r>
      <w:proofErr w:type="gramEnd"/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-1</w:t>
      </w:r>
      <w:r w:rsidRPr="00632D93">
        <w:rPr>
          <w:rFonts w:asciiTheme="minorHAnsi" w:hAnsiTheme="minorHAnsi" w:cstheme="minorHAnsi"/>
          <w:bCs/>
          <w:sz w:val="22"/>
          <w:szCs w:val="22"/>
        </w:rPr>
        <w:t>: Volume da Produção Fiscalizada de gás natural no mês “m-1” em metros cúbicos;</w:t>
      </w:r>
    </w:p>
    <w:p w:rsidR="00843D3F" w:rsidRPr="00632D93" w:rsidRDefault="00843D3F" w:rsidP="00843D3F">
      <w:pPr>
        <w:pStyle w:val="PargrafodaLista"/>
        <w:spacing w:line="360" w:lineRule="auto"/>
        <w:ind w:left="1418" w:firstLine="709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632D93">
        <w:rPr>
          <w:rFonts w:asciiTheme="minorHAnsi" w:hAnsiTheme="minorHAnsi" w:cstheme="minorHAnsi"/>
          <w:bCs/>
          <w:sz w:val="22"/>
          <w:szCs w:val="22"/>
        </w:rPr>
        <w:t>PR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g,m</w:t>
      </w:r>
      <w:proofErr w:type="gramEnd"/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-1</w:t>
      </w:r>
      <w:r w:rsidRPr="00632D93">
        <w:rPr>
          <w:rFonts w:asciiTheme="minorHAnsi" w:hAnsiTheme="minorHAnsi" w:cstheme="minorHAnsi"/>
          <w:bCs/>
          <w:sz w:val="22"/>
          <w:szCs w:val="22"/>
        </w:rPr>
        <w:t>: Preço de Referência do gás natural produzido no mês “m-1”</w:t>
      </w:r>
    </w:p>
    <w:p w:rsidR="00843D3F" w:rsidRPr="00632D93" w:rsidRDefault="00843D3F" w:rsidP="00E74B75">
      <w:pPr>
        <w:pStyle w:val="PargrafodaLista"/>
        <w:numPr>
          <w:ilvl w:val="0"/>
          <w:numId w:val="12"/>
        </w:numPr>
        <w:spacing w:line="360" w:lineRule="auto"/>
        <w:ind w:left="1701" w:hanging="476"/>
        <w:rPr>
          <w:rFonts w:asciiTheme="minorHAnsi" w:hAnsiTheme="minorHAnsi" w:cstheme="minorHAnsi"/>
          <w:bCs/>
          <w:sz w:val="22"/>
          <w:szCs w:val="22"/>
        </w:rPr>
      </w:pPr>
      <w:r w:rsidRPr="00632D93">
        <w:rPr>
          <w:rFonts w:asciiTheme="minorHAnsi" w:hAnsiTheme="minorHAnsi" w:cstheme="minorHAnsi"/>
          <w:bCs/>
          <w:sz w:val="22"/>
          <w:szCs w:val="22"/>
        </w:rPr>
        <w:t>Calcular EO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bCs/>
          <w:sz w:val="22"/>
          <w:szCs w:val="22"/>
        </w:rPr>
        <w:t xml:space="preserve"> (Excedente em Óleo do mês anterior “m-1”) de cada CPP, através da fórmula:</w:t>
      </w:r>
    </w:p>
    <w:p w:rsidR="00843D3F" w:rsidRPr="00632D93" w:rsidRDefault="00843D3F" w:rsidP="00843D3F">
      <w:pPr>
        <w:spacing w:line="360" w:lineRule="auto"/>
        <w:ind w:left="1701"/>
        <w:rPr>
          <w:rFonts w:asciiTheme="minorHAnsi" w:hAnsiTheme="minorHAnsi" w:cstheme="minorHAnsi"/>
          <w:bCs/>
          <w:sz w:val="22"/>
          <w:szCs w:val="22"/>
        </w:rPr>
      </w:pPr>
      <w:r w:rsidRPr="00632D93">
        <w:rPr>
          <w:rFonts w:asciiTheme="minorHAnsi" w:hAnsiTheme="minorHAnsi" w:cstheme="minorHAnsi"/>
          <w:bCs/>
          <w:sz w:val="22"/>
          <w:szCs w:val="22"/>
        </w:rPr>
        <w:t>VBP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bCs/>
          <w:sz w:val="22"/>
          <w:szCs w:val="22"/>
        </w:rPr>
        <w:t xml:space="preserve"> – Roy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bCs/>
          <w:sz w:val="22"/>
          <w:szCs w:val="22"/>
        </w:rPr>
        <w:t xml:space="preserve"> – MENOR [CO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bCs/>
          <w:sz w:val="22"/>
          <w:szCs w:val="22"/>
        </w:rPr>
        <w:t>; NN%*VBP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bCs/>
          <w:sz w:val="22"/>
          <w:szCs w:val="22"/>
        </w:rPr>
        <w:t>]</w:t>
      </w:r>
    </w:p>
    <w:p w:rsidR="00843D3F" w:rsidRPr="00632D93" w:rsidRDefault="00843D3F" w:rsidP="00843D3F">
      <w:pPr>
        <w:spacing w:line="360" w:lineRule="auto"/>
        <w:ind w:left="1701"/>
        <w:rPr>
          <w:rFonts w:asciiTheme="minorHAnsi" w:hAnsiTheme="minorHAnsi" w:cstheme="minorHAnsi"/>
          <w:noProof/>
          <w:sz w:val="22"/>
          <w:szCs w:val="22"/>
        </w:rPr>
      </w:pPr>
      <w:r w:rsidRPr="00632D93">
        <w:rPr>
          <w:rFonts w:asciiTheme="minorHAnsi" w:hAnsiTheme="minorHAnsi" w:cstheme="minorHAnsi"/>
          <w:noProof/>
          <w:sz w:val="22"/>
          <w:szCs w:val="22"/>
        </w:rPr>
        <w:t>Em que:</w:t>
      </w:r>
    </w:p>
    <w:p w:rsidR="00843D3F" w:rsidRPr="00632D93" w:rsidRDefault="00843D3F" w:rsidP="00843D3F">
      <w:pPr>
        <w:spacing w:line="360" w:lineRule="auto"/>
        <w:ind w:left="2127"/>
        <w:rPr>
          <w:rFonts w:asciiTheme="minorHAnsi" w:hAnsiTheme="minorHAnsi" w:cstheme="minorHAnsi"/>
          <w:noProof/>
          <w:sz w:val="22"/>
          <w:szCs w:val="22"/>
        </w:rPr>
      </w:pPr>
      <w:r w:rsidRPr="00632D93">
        <w:rPr>
          <w:rFonts w:asciiTheme="minorHAnsi" w:hAnsiTheme="minorHAnsi" w:cstheme="minorHAnsi"/>
          <w:noProof/>
          <w:sz w:val="22"/>
          <w:szCs w:val="22"/>
        </w:rPr>
        <w:t>VBP</w:t>
      </w:r>
      <w:r w:rsidRPr="00632D93">
        <w:rPr>
          <w:rFonts w:asciiTheme="minorHAnsi" w:hAnsiTheme="minorHAnsi" w:cstheme="minorHAnsi"/>
          <w:noProof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noProof/>
          <w:sz w:val="22"/>
          <w:szCs w:val="22"/>
        </w:rPr>
        <w:t xml:space="preserve"> = Valor Bruto da Produção no mês imediatamente anterior;</w:t>
      </w:r>
    </w:p>
    <w:p w:rsidR="00843D3F" w:rsidRPr="00632D93" w:rsidRDefault="00843D3F" w:rsidP="00843D3F">
      <w:pPr>
        <w:spacing w:line="360" w:lineRule="auto"/>
        <w:ind w:left="2127"/>
        <w:rPr>
          <w:rFonts w:asciiTheme="minorHAnsi" w:hAnsiTheme="minorHAnsi" w:cstheme="minorHAnsi"/>
          <w:noProof/>
          <w:sz w:val="22"/>
          <w:szCs w:val="22"/>
        </w:rPr>
      </w:pPr>
      <w:r w:rsidRPr="00632D93">
        <w:rPr>
          <w:rFonts w:asciiTheme="minorHAnsi" w:hAnsiTheme="minorHAnsi" w:cstheme="minorHAnsi"/>
          <w:noProof/>
          <w:sz w:val="22"/>
          <w:szCs w:val="22"/>
        </w:rPr>
        <w:t>Roy</w:t>
      </w:r>
      <w:r w:rsidRPr="00632D93">
        <w:rPr>
          <w:rFonts w:asciiTheme="minorHAnsi" w:hAnsiTheme="minorHAnsi" w:cstheme="minorHAnsi"/>
          <w:noProof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noProof/>
          <w:sz w:val="22"/>
          <w:szCs w:val="22"/>
        </w:rPr>
        <w:t xml:space="preserve"> = total de royalties recolhidos pelos Contratados no mês imediatamente anterior;</w:t>
      </w:r>
    </w:p>
    <w:p w:rsidR="00843D3F" w:rsidRPr="00632D93" w:rsidRDefault="00843D3F" w:rsidP="00843D3F">
      <w:pPr>
        <w:spacing w:line="360" w:lineRule="auto"/>
        <w:ind w:left="2127"/>
        <w:rPr>
          <w:rFonts w:asciiTheme="minorHAnsi" w:hAnsiTheme="minorHAnsi" w:cstheme="minorHAnsi"/>
          <w:bCs/>
          <w:sz w:val="22"/>
          <w:szCs w:val="22"/>
        </w:rPr>
      </w:pPr>
      <w:r w:rsidRPr="00632D93">
        <w:rPr>
          <w:rFonts w:asciiTheme="minorHAnsi" w:hAnsiTheme="minorHAnsi" w:cstheme="minorHAnsi"/>
          <w:bCs/>
          <w:sz w:val="22"/>
          <w:szCs w:val="22"/>
        </w:rPr>
        <w:lastRenderedPageBreak/>
        <w:t>CO</w:t>
      </w:r>
      <w:r w:rsidRPr="00632D93">
        <w:rPr>
          <w:rFonts w:asciiTheme="minorHAnsi" w:hAnsiTheme="minorHAnsi" w:cstheme="minorHAnsi"/>
          <w:bCs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bCs/>
          <w:sz w:val="22"/>
          <w:szCs w:val="22"/>
        </w:rPr>
        <w:t xml:space="preserve"> = saldo acumulado da conta Custo em Óleo até o final do mês imediatamente anterior</w:t>
      </w:r>
    </w:p>
    <w:p w:rsidR="00843D3F" w:rsidRPr="00632D93" w:rsidRDefault="00843D3F" w:rsidP="00843D3F">
      <w:pPr>
        <w:spacing w:line="360" w:lineRule="auto"/>
        <w:ind w:left="1701" w:firstLine="426"/>
        <w:rPr>
          <w:rFonts w:asciiTheme="minorHAnsi" w:hAnsiTheme="minorHAnsi" w:cstheme="minorHAnsi"/>
          <w:bCs/>
          <w:sz w:val="22"/>
          <w:szCs w:val="22"/>
        </w:rPr>
      </w:pPr>
      <w:r w:rsidRPr="00632D93">
        <w:rPr>
          <w:rFonts w:asciiTheme="minorHAnsi" w:hAnsiTheme="minorHAnsi" w:cstheme="minorHAnsi"/>
          <w:bCs/>
          <w:sz w:val="22"/>
          <w:szCs w:val="22"/>
        </w:rPr>
        <w:t>NN = limite mensal para recuperação do Custo em Óleo;</w:t>
      </w:r>
    </w:p>
    <w:p w:rsidR="00843D3F" w:rsidRPr="00632D93" w:rsidRDefault="00843D3F" w:rsidP="00E74B75">
      <w:pPr>
        <w:pStyle w:val="PargrafodaLista"/>
        <w:numPr>
          <w:ilvl w:val="0"/>
          <w:numId w:val="12"/>
        </w:numPr>
        <w:spacing w:line="360" w:lineRule="auto"/>
        <w:ind w:left="1701" w:hanging="476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Identificar </w:t>
      </w:r>
      <w:r w:rsidRPr="00632D93">
        <w:rPr>
          <w:rFonts w:ascii="MS Gothic" w:eastAsia="MS Gothic" w:hAnsi="MS Gothic" w:cs="MS Gothic"/>
          <w:sz w:val="22"/>
          <w:szCs w:val="22"/>
        </w:rPr>
        <w:t> </w:t>
      </w:r>
      <w:r w:rsidRPr="00632D93">
        <w:rPr>
          <w:rFonts w:asciiTheme="minorHAnsi" w:hAnsiTheme="minorHAnsi" w:cstheme="minorHAnsi"/>
          <w:sz w:val="22"/>
          <w:szCs w:val="22"/>
        </w:rPr>
        <w:t>Ali</w:t>
      </w:r>
      <w:r w:rsidRPr="00632D93">
        <w:rPr>
          <w:rFonts w:asciiTheme="minorHAnsi" w:hAnsiTheme="minorHAnsi" w:cstheme="minorHAnsi"/>
          <w:sz w:val="22"/>
          <w:szCs w:val="22"/>
          <w:vertAlign w:val="subscript"/>
        </w:rPr>
        <w:t>m-1</w:t>
      </w:r>
      <w:r w:rsidRPr="00632D93">
        <w:rPr>
          <w:rFonts w:asciiTheme="minorHAnsi" w:hAnsiTheme="minorHAnsi" w:cstheme="minorHAnsi"/>
          <w:sz w:val="22"/>
          <w:szCs w:val="22"/>
        </w:rPr>
        <w:t xml:space="preserve"> (alíquota da partilha do Excedente em Óleo do mês anterior “m-1”) de cada CPP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A alíquota da partilha do Excedente em Óleo é calculada com base na Tabela “Parcela da União do Excedente em Óleo”, conforme exemplo ilustrativo da tabela utilizada no CPP de Libra - Capítulo II do Regime de Partilha da Produção – Cláusula Nona – Partilha do Excedente em Óleo:</w:t>
      </w:r>
    </w:p>
    <w:p w:rsidR="00843D3F" w:rsidRPr="00632D93" w:rsidRDefault="00843D3F" w:rsidP="00E74B75">
      <w:pPr>
        <w:spacing w:line="360" w:lineRule="auto"/>
        <w:ind w:left="1022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2C308C1" wp14:editId="7F33A7CE">
            <wp:extent cx="5587744" cy="1695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6336" cy="170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D3F" w:rsidRPr="00632D93" w:rsidRDefault="00843D3F" w:rsidP="00843D3F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632D93">
        <w:rPr>
          <w:b/>
          <w:sz w:val="22"/>
          <w:szCs w:val="22"/>
        </w:rPr>
        <w:t>Rotina de Cálculo Automática II (AIP) – Atividades 12 e 13, ilustradas no Padrão de Processo (Anexo I)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Em paralelo à Rotina de Cálculo Automática I, também são executados pelo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os cálculos referentes aos AIPs, conforme abaixo:</w:t>
      </w:r>
    </w:p>
    <w:p w:rsidR="00843D3F" w:rsidRPr="00632D93" w:rsidRDefault="00843D3F" w:rsidP="00E74B75">
      <w:pPr>
        <w:pStyle w:val="PargrafodaLista"/>
        <w:numPr>
          <w:ilvl w:val="0"/>
          <w:numId w:val="13"/>
        </w:numPr>
        <w:spacing w:after="200" w:line="360" w:lineRule="auto"/>
        <w:ind w:left="1843" w:hanging="484"/>
        <w:rPr>
          <w:rFonts w:asciiTheme="minorHAnsi" w:hAnsiTheme="minorHAnsi" w:cstheme="minorHAnsi"/>
          <w:bCs/>
          <w:sz w:val="22"/>
          <w:szCs w:val="22"/>
        </w:rPr>
      </w:pPr>
      <w:r w:rsidRPr="00632D93">
        <w:rPr>
          <w:rFonts w:asciiTheme="minorHAnsi" w:hAnsiTheme="minorHAnsi" w:cstheme="minorHAnsi"/>
          <w:bCs/>
          <w:sz w:val="22"/>
          <w:szCs w:val="22"/>
        </w:rPr>
        <w:t>Calcular os valores brutos da produção de cada AIP; e</w:t>
      </w:r>
    </w:p>
    <w:p w:rsidR="00843D3F" w:rsidRPr="00632D93" w:rsidRDefault="00843D3F" w:rsidP="00E74B75">
      <w:pPr>
        <w:pStyle w:val="PargrafodaLista"/>
        <w:numPr>
          <w:ilvl w:val="0"/>
          <w:numId w:val="13"/>
        </w:numPr>
        <w:spacing w:after="200" w:line="360" w:lineRule="auto"/>
        <w:ind w:left="1843" w:hanging="484"/>
        <w:rPr>
          <w:rFonts w:asciiTheme="minorHAnsi" w:hAnsiTheme="minorHAnsi" w:cstheme="minorHAnsi"/>
          <w:bCs/>
          <w:sz w:val="22"/>
          <w:szCs w:val="22"/>
        </w:rPr>
      </w:pPr>
      <w:r w:rsidRPr="00632D93">
        <w:rPr>
          <w:rFonts w:asciiTheme="minorHAnsi" w:hAnsiTheme="minorHAnsi" w:cstheme="minorHAnsi"/>
          <w:bCs/>
          <w:sz w:val="22"/>
          <w:szCs w:val="22"/>
        </w:rPr>
        <w:t>Calcular os excedentes em óleo de cada AIP.</w:t>
      </w:r>
    </w:p>
    <w:p w:rsidR="00843D3F" w:rsidRPr="00632D93" w:rsidRDefault="00843D3F" w:rsidP="00843D3F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632D93">
        <w:rPr>
          <w:b/>
          <w:sz w:val="22"/>
          <w:szCs w:val="22"/>
        </w:rPr>
        <w:t>Consolidação Preliminar dos Resultados e Comunicação com os Operadores – Atividades 14 a 23, ilustradas no Padrão de Processo (Anexo I)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Após a execução das rotinas de cálculo automática I (dos CPPs) e II (dos AIPs), 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irá consolidar preliminarmente os parâmetros calculados por poço, por UEP, por campo e por módulo em cada contrato e suas totalizações no mês. Em seguida, a CACP irá verificar a existência de pontos que ainda demandem esclarecimentos junto aos Operadores.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Se necessário contatar o Operador, a CACP deve verificar a necessidade de se fazer a comunicação via formalização da GE (Carta Oficial), caso contrário, entrar em contato direto com </w:t>
      </w:r>
      <w:r w:rsidRPr="00632D93">
        <w:rPr>
          <w:rFonts w:asciiTheme="minorHAnsi" w:hAnsiTheme="minorHAnsi" w:cstheme="minorHAnsi"/>
          <w:sz w:val="22"/>
          <w:szCs w:val="22"/>
        </w:rPr>
        <w:lastRenderedPageBreak/>
        <w:t xml:space="preserve">o Operador enviando os questionamentos via e-mail com suporte do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>. O Operador em seguida irá avaliar os questionamentos e responder à CACP pelos mesmos meios.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Se for necessária a comunicação com o Operador via formalização da GE, a solicitação de informações adicionais e/ou questionamentos deverá ser enviada via Carta Oficial pela respectiva GE do CPP ou AIP. O Operador deverá avaliar os questionamentos e retornar à GE via Carta Oficial, disponibilizando-a posteriormente à CACP via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que avaliará se os esclarecimentos foram satisfatórios. Caso seja necessário refinar os esclarecimentos repete-se o processo de comunicação descrito acima.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Em ambos os casos, a CACP de posse dos esclarecimentos do Operador deverá verificar se os mesmos são satisfatórios, caso contrário deverá encaminhar novos questionamentos aos Operadores. Quando todos os esclarecimentos forem satisfatórios, a CACP deverá verificar se haverá ou não a necessidade de recalcular os excedentes da produção, acionando 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para repetir as rotinas de cálculo I e II.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Caso não seja necessário buscar esclarecimentos junto ao Operador, o processo no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segue para a Consolidação Final de Resultados (Atividade nº 24).</w:t>
      </w:r>
    </w:p>
    <w:p w:rsidR="00843D3F" w:rsidRPr="00632D93" w:rsidRDefault="00843D3F" w:rsidP="00843D3F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632D93">
        <w:rPr>
          <w:b/>
          <w:sz w:val="22"/>
          <w:szCs w:val="22"/>
        </w:rPr>
        <w:t>Consolidação Final de Resultados – Atividades 24 e 25, ilustradas no Padrão de Processo (Anexo I)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ab/>
        <w:t xml:space="preserve">Após o ciclo de comunicação com os Operadores e a consideração de possíveis impactos dos esclarecimentos, 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irá realizar a consolidação final dos parâmetros calculados por poço, por UEP, por campo, por módulo em cada contrato (CPPs e AIPs) e suas totalizações no mês. Em seguida, 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automaticamente irá atualizar o Banco de Dados dos Excedentes e Parcelas da Produção no sistema.</w:t>
      </w:r>
    </w:p>
    <w:p w:rsidR="00843D3F" w:rsidRPr="00632D93" w:rsidRDefault="00843D3F" w:rsidP="00843D3F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632D93">
        <w:rPr>
          <w:b/>
          <w:sz w:val="22"/>
          <w:szCs w:val="22"/>
        </w:rPr>
        <w:t>Elaboração do Relatório Mensal dos Excedentes e Parcelas da Produção de Óleo e Gás – Atividades 26 a 35, ilustradas no Padrão de Processo (Anexo I)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Após a atualização final do Banco de Dados dos Excedentes e Parcelas da Produção no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, a CACP irá elaborar no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o Relatório Mensal dos Excedentes e Parcelas da Produção de Óleo e Gás para cada CPP e AIP, em seguida obter as assinaturas eletrônicas da SDP e da DTF com suporte do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. Os relatórios assinados serão salvos no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e, posteriormente, disponibilizados </w:t>
      </w:r>
      <w:r w:rsidRPr="00632D93">
        <w:rPr>
          <w:rFonts w:asciiTheme="minorHAnsi" w:hAnsiTheme="minorHAnsi" w:cstheme="minorHAnsi"/>
          <w:sz w:val="22"/>
          <w:szCs w:val="22"/>
        </w:rPr>
        <w:lastRenderedPageBreak/>
        <w:t xml:space="preserve">internamente via </w:t>
      </w:r>
      <w:r w:rsidRPr="00632D93">
        <w:rPr>
          <w:rFonts w:asciiTheme="minorHAnsi" w:hAnsiTheme="minorHAnsi" w:cstheme="minorHAnsi"/>
          <w:i/>
          <w:sz w:val="22"/>
          <w:szCs w:val="22"/>
        </w:rPr>
        <w:t>workflow</w:t>
      </w:r>
      <w:r w:rsidRPr="00632D93">
        <w:rPr>
          <w:rFonts w:asciiTheme="minorHAnsi" w:hAnsiTheme="minorHAnsi" w:cstheme="minorHAnsi"/>
          <w:sz w:val="22"/>
          <w:szCs w:val="22"/>
        </w:rPr>
        <w:t xml:space="preserve"> para as </w:t>
      </w:r>
      <w:proofErr w:type="spellStart"/>
      <w:r w:rsidRPr="00632D93">
        <w:rPr>
          <w:rFonts w:asciiTheme="minorHAnsi" w:hAnsiTheme="minorHAnsi" w:cstheme="minorHAnsi"/>
          <w:sz w:val="22"/>
          <w:szCs w:val="22"/>
        </w:rPr>
        <w:t>GEs</w:t>
      </w:r>
      <w:proofErr w:type="spellEnd"/>
      <w:r w:rsidRPr="00632D93">
        <w:rPr>
          <w:rFonts w:asciiTheme="minorHAnsi" w:hAnsiTheme="minorHAnsi" w:cstheme="minorHAnsi"/>
          <w:sz w:val="22"/>
          <w:szCs w:val="22"/>
        </w:rPr>
        <w:t xml:space="preserve"> dos </w:t>
      </w:r>
      <w:proofErr w:type="spellStart"/>
      <w:r w:rsidRPr="00632D93">
        <w:rPr>
          <w:rFonts w:asciiTheme="minorHAnsi" w:hAnsiTheme="minorHAnsi" w:cstheme="minorHAnsi"/>
          <w:sz w:val="22"/>
          <w:szCs w:val="22"/>
        </w:rPr>
        <w:t>CPPs</w:t>
      </w:r>
      <w:proofErr w:type="spellEnd"/>
      <w:r w:rsidRPr="00632D93">
        <w:rPr>
          <w:rFonts w:asciiTheme="minorHAnsi" w:hAnsiTheme="minorHAnsi" w:cstheme="minorHAnsi"/>
          <w:sz w:val="22"/>
          <w:szCs w:val="22"/>
        </w:rPr>
        <w:t xml:space="preserve"> e AIPs que são responsáveis pelo envio aos Operadores.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Esses resultados servirão de insumo para o processo na CACP de Cálculo do Excedente em Óleo da União (representado como output no Padrão de Processo Anexo I).</w:t>
      </w:r>
    </w:p>
    <w:p w:rsidR="00843D3F" w:rsidRPr="00632D93" w:rsidRDefault="00843D3F" w:rsidP="00843D3F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632D93">
        <w:rPr>
          <w:b/>
          <w:sz w:val="22"/>
          <w:szCs w:val="22"/>
        </w:rPr>
        <w:t>Elaboração do Relatório Mensal Consolidado dos Excedentes e Parcelas da Produção de Óleo e Gás – Atividades 36 a 38, ilustradas no Padrão de Processo (Anexo I)</w:t>
      </w:r>
    </w:p>
    <w:p w:rsidR="00843D3F" w:rsidRPr="00632D93" w:rsidRDefault="00843D3F" w:rsidP="00843D3F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A CACP também irá elaborar e emitir pelo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o Relatório Mensal Consolidado dos Excedentes e Parcelas da Produção de Óleo e Gás de todos os contratos (CPPs e AIPs) e em seguida obter as assinaturas eletrônicas da SDP e DTF com suporte do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. O relatório assinado será salvo no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e disponibilizado para a DE.</w:t>
      </w:r>
    </w:p>
    <w:p w:rsidR="00F43A06" w:rsidRPr="00632D93" w:rsidRDefault="00F43A06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4" w:name="_Toc492827559"/>
      <w:r w:rsidRPr="00632D93">
        <w:rPr>
          <w:b/>
          <w:sz w:val="22"/>
          <w:szCs w:val="22"/>
        </w:rPr>
        <w:t>Monitoramento do Processo</w:t>
      </w:r>
      <w:bookmarkEnd w:id="14"/>
    </w:p>
    <w:p w:rsidR="00F43A06" w:rsidRPr="00632D93" w:rsidRDefault="00F43A06" w:rsidP="000C6A5A">
      <w:pPr>
        <w:pStyle w:val="Style3"/>
        <w:numPr>
          <w:ilvl w:val="2"/>
          <w:numId w:val="2"/>
        </w:numPr>
        <w:ind w:left="1503" w:hanging="505"/>
        <w:rPr>
          <w:sz w:val="22"/>
          <w:szCs w:val="22"/>
        </w:rPr>
      </w:pPr>
      <w:r w:rsidRPr="00632D93">
        <w:rPr>
          <w:b/>
          <w:sz w:val="22"/>
          <w:szCs w:val="22"/>
        </w:rPr>
        <w:t>Monitoramento Gerencial (Indicadores de Performance do Processo):</w:t>
      </w:r>
    </w:p>
    <w:p w:rsidR="001670D7" w:rsidRPr="00632D93" w:rsidRDefault="00E74B75" w:rsidP="00A54198">
      <w:pPr>
        <w:spacing w:line="360" w:lineRule="auto"/>
        <w:ind w:left="998" w:firstLine="289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O Processo de Cálculo dos Excedentes e Parcelas da Produção deve ser suportado por Indicadores de Performance do Processo, conforme detalhamento no Anexo III. O Modelo de Governança dos Processos prevê a sistematização desses indicadores com a realização do Ciclo periódico de acompanhamento dos indicadores que envolve os Comitês Diretivo, Executivo e de Especialistas com as seguintes atividades:</w:t>
      </w:r>
    </w:p>
    <w:p w:rsidR="00E74B75" w:rsidRPr="00632D93" w:rsidRDefault="00E74B75" w:rsidP="00E74B75">
      <w:pPr>
        <w:pStyle w:val="PargrafodaLista"/>
        <w:numPr>
          <w:ilvl w:val="0"/>
          <w:numId w:val="7"/>
        </w:numPr>
        <w:tabs>
          <w:tab w:val="left" w:pos="1843"/>
        </w:tabs>
        <w:spacing w:line="360" w:lineRule="auto"/>
        <w:ind w:left="1647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Analista responsável pela gestão dos indicadores na Coordenação de Acompanhamento e Controle da Produção deve gerar os indicadores e enviá-los via e-mail para análise do Comitê Executivo e do Comitê de Especialistas;</w:t>
      </w:r>
    </w:p>
    <w:p w:rsidR="00E74B75" w:rsidRPr="00632D93" w:rsidRDefault="00E74B75" w:rsidP="00E74B75">
      <w:pPr>
        <w:pStyle w:val="PargrafodaLista"/>
        <w:numPr>
          <w:ilvl w:val="0"/>
          <w:numId w:val="7"/>
        </w:numPr>
        <w:tabs>
          <w:tab w:val="left" w:pos="1843"/>
        </w:tabs>
        <w:spacing w:line="360" w:lineRule="auto"/>
        <w:ind w:left="1647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Comitê Executivo e Comitê de Especialistas devem avaliar os indicadores gerados para cada processo em reunião e aprovar o envio ao Comitê Diretivo; e</w:t>
      </w:r>
    </w:p>
    <w:p w:rsidR="00A54198" w:rsidRPr="00632D93" w:rsidRDefault="00E74B75" w:rsidP="00E74B75">
      <w:pPr>
        <w:pStyle w:val="PargrafodaLista"/>
        <w:numPr>
          <w:ilvl w:val="0"/>
          <w:numId w:val="7"/>
        </w:numPr>
        <w:tabs>
          <w:tab w:val="left" w:pos="1843"/>
        </w:tabs>
        <w:spacing w:line="360" w:lineRule="auto"/>
        <w:ind w:left="1647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 xml:space="preserve">Comitê Diretivo e Comitê Executivo devem avaliar os resultados em reunião e elaborar plano de ação para os desvios apresentados. Arquivar resultados no </w:t>
      </w:r>
      <w:r w:rsidR="00370CE3" w:rsidRPr="00632D93">
        <w:rPr>
          <w:rFonts w:asciiTheme="minorHAnsi" w:hAnsiTheme="minorHAnsi" w:cstheme="minorHAnsi"/>
          <w:sz w:val="22"/>
          <w:szCs w:val="22"/>
        </w:rPr>
        <w:t>SGPP</w:t>
      </w:r>
      <w:r w:rsidRPr="00632D93">
        <w:rPr>
          <w:rFonts w:asciiTheme="minorHAnsi" w:hAnsiTheme="minorHAnsi" w:cstheme="minorHAnsi"/>
          <w:sz w:val="22"/>
          <w:szCs w:val="22"/>
        </w:rPr>
        <w:t xml:space="preserve"> ao final desse ciclo periódico.</w:t>
      </w:r>
    </w:p>
    <w:p w:rsidR="00E74B75" w:rsidRPr="00632D93" w:rsidRDefault="00E74B75" w:rsidP="00A54198">
      <w:pPr>
        <w:spacing w:line="360" w:lineRule="auto"/>
        <w:ind w:left="998" w:firstLine="289"/>
        <w:jc w:val="both"/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t>Os indicadores (detalhados no Anexo III deste documento) previstos para o processo de Cálculo dos Excedentes e Parcelas da Produção são:</w:t>
      </w:r>
    </w:p>
    <w:p w:rsidR="00E74B75" w:rsidRPr="00632D93" w:rsidRDefault="00E74B75" w:rsidP="00A54198">
      <w:pPr>
        <w:pStyle w:val="PargrafodaLista"/>
        <w:numPr>
          <w:ilvl w:val="0"/>
          <w:numId w:val="6"/>
        </w:numPr>
        <w:spacing w:after="200" w:line="360" w:lineRule="auto"/>
        <w:ind w:left="213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2D93">
        <w:rPr>
          <w:rFonts w:asciiTheme="minorHAnsi" w:hAnsiTheme="minorHAnsi" w:cstheme="minorHAnsi"/>
          <w:color w:val="000000" w:themeColor="text1"/>
          <w:sz w:val="22"/>
          <w:szCs w:val="22"/>
        </w:rPr>
        <w:t>Previsto x Realizado dos Excedentes da Produção</w:t>
      </w:r>
    </w:p>
    <w:p w:rsidR="00F43A06" w:rsidRPr="00632D93" w:rsidRDefault="00632D93" w:rsidP="00632D93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5" w:name="_Toc492827560"/>
      <w:r w:rsidRPr="00632D93">
        <w:rPr>
          <w:b/>
          <w:sz w:val="22"/>
          <w:szCs w:val="22"/>
        </w:rPr>
        <w:lastRenderedPageBreak/>
        <w:t>Prazos</w:t>
      </w:r>
      <w:bookmarkEnd w:id="15"/>
    </w:p>
    <w:p w:rsidR="00632D93" w:rsidRPr="00632D93" w:rsidRDefault="00632D93" w:rsidP="00632D93">
      <w:pPr>
        <w:pStyle w:val="Body"/>
        <w:spacing w:line="360" w:lineRule="auto"/>
        <w:ind w:left="641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>Os prazos envolvidos nas etapas do processo foram definidos em contrato, conforme segue:</w:t>
      </w:r>
    </w:p>
    <w:p w:rsidR="00632D93" w:rsidRPr="00632D93" w:rsidRDefault="00632D93" w:rsidP="00632D93">
      <w:pPr>
        <w:pStyle w:val="Body"/>
        <w:numPr>
          <w:ilvl w:val="0"/>
          <w:numId w:val="6"/>
        </w:numPr>
        <w:spacing w:line="360" w:lineRule="auto"/>
        <w:ind w:left="1428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 xml:space="preserve">Recebimento dos Dados de Venda pelos Operadores: </w:t>
      </w:r>
    </w:p>
    <w:p w:rsidR="00632D93" w:rsidRPr="00632D93" w:rsidRDefault="00632D93" w:rsidP="00632D93">
      <w:pPr>
        <w:pStyle w:val="Body"/>
        <w:spacing w:line="360" w:lineRule="auto"/>
        <w:ind w:left="1428"/>
        <w:rPr>
          <w:rFonts w:eastAsia="Times New Roman" w:cstheme="minorHAnsi"/>
          <w:lang w:eastAsia="pt-BR"/>
        </w:rPr>
      </w:pPr>
      <w:r w:rsidRPr="00632D93">
        <w:rPr>
          <w:rFonts w:eastAsia="Times New Roman" w:cstheme="minorHAnsi"/>
          <w:lang w:eastAsia="pt-BR"/>
        </w:rPr>
        <w:t>Até o 5º (quinto) dia útil de cada mês, a partir do mês seguinte àquele em que ocorrer a data de início da Produção de Petróleo de cada Campo, cada Contratado informará à Gestora e à ANP as quantidades vendidas, os preços de venda no mês anterior e o valor da média ponderada dos preços de venda praticados por cada Consorciado, em condições normais de mercado, além das notas fiscais comprobatórias das vendas.</w:t>
      </w:r>
    </w:p>
    <w:p w:rsidR="00632D93" w:rsidRDefault="00632D93" w:rsidP="00632D93">
      <w:pPr>
        <w:pStyle w:val="Body"/>
        <w:spacing w:line="360" w:lineRule="auto"/>
        <w:ind w:left="1428"/>
        <w:rPr>
          <w:rFonts w:eastAsia="Times New Roman" w:cstheme="minorHAnsi"/>
          <w:lang w:eastAsia="pt-BR"/>
        </w:rPr>
        <w:sectPr w:rsidR="00632D93" w:rsidSect="00042F73">
          <w:headerReference w:type="default" r:id="rId10"/>
          <w:footerReference w:type="default" r:id="rId11"/>
          <w:type w:val="continuous"/>
          <w:pgSz w:w="11906" w:h="16838"/>
          <w:pgMar w:top="1440" w:right="1080" w:bottom="1440" w:left="1080" w:header="708" w:footer="0" w:gutter="0"/>
          <w:pgNumType w:fmt="numberInDash"/>
          <w:cols w:space="708"/>
          <w:docGrid w:linePitch="360"/>
        </w:sectPr>
      </w:pPr>
      <w:r w:rsidRPr="00632D93">
        <w:rPr>
          <w:rFonts w:eastAsia="Times New Roman" w:cstheme="minorHAnsi"/>
          <w:lang w:eastAsia="pt-BR"/>
        </w:rPr>
        <w:t xml:space="preserve">Para o caso de </w:t>
      </w:r>
      <w:proofErr w:type="spellStart"/>
      <w:r w:rsidRPr="00632D93">
        <w:rPr>
          <w:rFonts w:eastAsia="Times New Roman" w:cstheme="minorHAnsi"/>
          <w:lang w:eastAsia="pt-BR"/>
        </w:rPr>
        <w:t>AIPs</w:t>
      </w:r>
      <w:proofErr w:type="spellEnd"/>
      <w:r w:rsidRPr="00632D93">
        <w:rPr>
          <w:rFonts w:eastAsia="Times New Roman" w:cstheme="minorHAnsi"/>
          <w:lang w:eastAsia="pt-BR"/>
        </w:rPr>
        <w:t>, os Operadores também devem enviar os dados de venda de petróleo e gás, conforme estabelecido nos Acordos de Individualização da Produção assinados.</w:t>
      </w:r>
    </w:p>
    <w:p w:rsidR="007254CF" w:rsidRPr="00632D93" w:rsidRDefault="007254CF" w:rsidP="007254CF">
      <w:pPr>
        <w:pStyle w:val="Style1"/>
        <w:rPr>
          <w:b/>
          <w:sz w:val="22"/>
          <w:szCs w:val="22"/>
        </w:rPr>
      </w:pPr>
      <w:bookmarkStart w:id="16" w:name="_Toc492827561"/>
      <w:r w:rsidRPr="00632D93">
        <w:rPr>
          <w:b/>
          <w:sz w:val="22"/>
          <w:szCs w:val="22"/>
        </w:rPr>
        <w:lastRenderedPageBreak/>
        <w:t>Índice de Revisões</w:t>
      </w:r>
      <w:bookmarkEnd w:id="16"/>
    </w:p>
    <w:tbl>
      <w:tblPr>
        <w:tblStyle w:val="Tabelacomgrade"/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852"/>
        <w:gridCol w:w="863"/>
        <w:gridCol w:w="863"/>
        <w:gridCol w:w="863"/>
        <w:gridCol w:w="863"/>
        <w:gridCol w:w="863"/>
        <w:gridCol w:w="863"/>
        <w:gridCol w:w="863"/>
        <w:gridCol w:w="863"/>
        <w:gridCol w:w="864"/>
      </w:tblGrid>
      <w:tr w:rsidR="00632D93" w:rsidRPr="00782700" w:rsidTr="00327CFA">
        <w:trPr>
          <w:jc w:val="center"/>
        </w:trPr>
        <w:tc>
          <w:tcPr>
            <w:tcW w:w="9352" w:type="dxa"/>
            <w:gridSpan w:val="11"/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Cs w:val="18"/>
              </w:rPr>
            </w:pPr>
            <w:r w:rsidRPr="00C85FAF">
              <w:rPr>
                <w:rFonts w:asciiTheme="minorHAnsi" w:hAnsiTheme="minorHAnsi"/>
                <w:sz w:val="22"/>
                <w:szCs w:val="18"/>
              </w:rPr>
              <w:t>ÍNDICE DE REVISÕES</w:t>
            </w:r>
          </w:p>
        </w:tc>
      </w:tr>
      <w:tr w:rsidR="00632D93" w:rsidRPr="00C85FAF" w:rsidTr="00327CFA">
        <w:trPr>
          <w:jc w:val="center"/>
        </w:trPr>
        <w:tc>
          <w:tcPr>
            <w:tcW w:w="732" w:type="dxa"/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REV.</w:t>
            </w:r>
          </w:p>
        </w:tc>
        <w:tc>
          <w:tcPr>
            <w:tcW w:w="8620" w:type="dxa"/>
            <w:gridSpan w:val="10"/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22"/>
                <w:szCs w:val="18"/>
              </w:rPr>
              <w:t>DESCRIÇÃO</w:t>
            </w:r>
          </w:p>
        </w:tc>
      </w:tr>
      <w:tr w:rsidR="00632D93" w:rsidRPr="00C85FAF" w:rsidTr="00327CFA">
        <w:trPr>
          <w:jc w:val="center"/>
        </w:trPr>
        <w:tc>
          <w:tcPr>
            <w:tcW w:w="732" w:type="dxa"/>
            <w:tcBorders>
              <w:bottom w:val="dotted" w:sz="4" w:space="0" w:color="A6A6A6" w:themeColor="background1" w:themeShade="A6"/>
            </w:tcBorders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8620" w:type="dxa"/>
            <w:gridSpan w:val="10"/>
            <w:tcBorders>
              <w:bottom w:val="dotted" w:sz="4" w:space="0" w:color="A6A6A6" w:themeColor="background1" w:themeShade="A6"/>
            </w:tcBorders>
          </w:tcPr>
          <w:p w:rsidR="00632D93" w:rsidRPr="00C85FAF" w:rsidRDefault="00632D93" w:rsidP="00327CFA">
            <w:pPr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Original</w:t>
            </w:r>
          </w:p>
        </w:tc>
      </w:tr>
      <w:tr w:rsidR="00632D93" w:rsidRPr="00C85FAF" w:rsidTr="00327CFA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632D93" w:rsidRPr="00C85FAF" w:rsidRDefault="00632D93" w:rsidP="00327CF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32D93" w:rsidRPr="00C85FAF" w:rsidTr="00327CFA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632D93" w:rsidRPr="00C85FAF" w:rsidRDefault="00632D93" w:rsidP="00327CF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32D93" w:rsidRPr="00C85FAF" w:rsidTr="00327CFA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632D93" w:rsidRPr="00C85FAF" w:rsidRDefault="00632D93" w:rsidP="00327CF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32D93" w:rsidRPr="00C85FAF" w:rsidTr="00327CFA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632D93" w:rsidRPr="00C85FAF" w:rsidRDefault="00632D93" w:rsidP="00327CF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32D93" w:rsidRPr="00C85FAF" w:rsidTr="00327CFA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</w:tcBorders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</w:tcBorders>
          </w:tcPr>
          <w:p w:rsidR="00632D93" w:rsidRPr="00C85FAF" w:rsidRDefault="00632D93" w:rsidP="00327CF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32D93" w:rsidRPr="00C85FAF" w:rsidTr="00327CFA">
        <w:trPr>
          <w:jc w:val="center"/>
        </w:trPr>
        <w:tc>
          <w:tcPr>
            <w:tcW w:w="1584" w:type="dxa"/>
            <w:gridSpan w:val="2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ORIGINAL</w:t>
            </w: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1</w:t>
            </w: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2</w:t>
            </w: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3</w:t>
            </w: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4</w:t>
            </w: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5</w:t>
            </w: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REV.61</w:t>
            </w: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7</w:t>
            </w:r>
          </w:p>
        </w:tc>
        <w:tc>
          <w:tcPr>
            <w:tcW w:w="864" w:type="dxa"/>
            <w:vAlign w:val="center"/>
          </w:tcPr>
          <w:p w:rsidR="00632D93" w:rsidRPr="00C85FAF" w:rsidRDefault="00632D93" w:rsidP="00327CF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8</w:t>
            </w:r>
          </w:p>
        </w:tc>
      </w:tr>
      <w:tr w:rsidR="00632D93" w:rsidRPr="00C85FAF" w:rsidTr="00327CFA">
        <w:trPr>
          <w:jc w:val="center"/>
        </w:trPr>
        <w:tc>
          <w:tcPr>
            <w:tcW w:w="1584" w:type="dxa"/>
            <w:gridSpan w:val="2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DATA</w:t>
            </w: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32D93" w:rsidRPr="00C85FAF" w:rsidTr="00327CFA">
        <w:trPr>
          <w:jc w:val="center"/>
        </w:trPr>
        <w:tc>
          <w:tcPr>
            <w:tcW w:w="1584" w:type="dxa"/>
            <w:gridSpan w:val="2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ELABORADO POR:</w:t>
            </w: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32D93" w:rsidRPr="00C85FAF" w:rsidTr="00327CFA">
        <w:trPr>
          <w:jc w:val="center"/>
        </w:trPr>
        <w:tc>
          <w:tcPr>
            <w:tcW w:w="1584" w:type="dxa"/>
            <w:gridSpan w:val="2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REVISADO POR:</w:t>
            </w: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32D93" w:rsidRPr="00C85FAF" w:rsidTr="00327CFA">
        <w:trPr>
          <w:jc w:val="center"/>
        </w:trPr>
        <w:tc>
          <w:tcPr>
            <w:tcW w:w="1584" w:type="dxa"/>
            <w:gridSpan w:val="2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APROVADO POR:</w:t>
            </w: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632D93" w:rsidRPr="00C85FAF" w:rsidRDefault="00632D93" w:rsidP="00327C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F43A06" w:rsidRPr="00632D93" w:rsidRDefault="00F43A06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br w:type="page"/>
      </w:r>
    </w:p>
    <w:p w:rsidR="00502A6A" w:rsidRPr="00632D93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  <w:sectPr w:rsidR="00502A6A" w:rsidRPr="00632D93" w:rsidSect="00632D93">
          <w:footerReference w:type="default" r:id="rId12"/>
          <w:pgSz w:w="11906" w:h="16838"/>
          <w:pgMar w:top="1440" w:right="1080" w:bottom="1440" w:left="1080" w:header="708" w:footer="0" w:gutter="0"/>
          <w:pgNumType w:fmt="numberInDash"/>
          <w:cols w:space="708"/>
          <w:docGrid w:linePitch="360"/>
        </w:sectPr>
      </w:pPr>
    </w:p>
    <w:p w:rsidR="00502A6A" w:rsidRPr="00632D93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632D93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632D93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632D93" w:rsidRPr="00632D93" w:rsidRDefault="00484A4B" w:rsidP="00632D93">
      <w:pPr>
        <w:pStyle w:val="Style1"/>
        <w:rPr>
          <w:b/>
          <w:sz w:val="22"/>
        </w:rPr>
      </w:pPr>
      <w:bookmarkStart w:id="17" w:name="_Toc492827562"/>
      <w:r w:rsidRPr="00632D93">
        <w:rPr>
          <w:b/>
          <w:sz w:val="22"/>
        </w:rPr>
        <w:t>Anexo</w:t>
      </w:r>
      <w:r w:rsidR="00632D93" w:rsidRPr="00632D93">
        <w:rPr>
          <w:b/>
          <w:sz w:val="22"/>
        </w:rPr>
        <w:t>s</w:t>
      </w:r>
      <w:bookmarkEnd w:id="17"/>
    </w:p>
    <w:p w:rsidR="00484A4B" w:rsidRPr="00632D93" w:rsidRDefault="00632D93" w:rsidP="00632D93">
      <w:pPr>
        <w:pStyle w:val="Style2"/>
        <w:numPr>
          <w:ilvl w:val="1"/>
          <w:numId w:val="2"/>
        </w:numPr>
        <w:rPr>
          <w:b/>
          <w:sz w:val="22"/>
        </w:rPr>
      </w:pPr>
      <w:bookmarkStart w:id="18" w:name="_Toc492827563"/>
      <w:r w:rsidRPr="00632D93">
        <w:rPr>
          <w:b/>
          <w:sz w:val="22"/>
        </w:rPr>
        <w:t xml:space="preserve">Anexo I - </w:t>
      </w:r>
      <w:r w:rsidR="00484A4B" w:rsidRPr="00632D93">
        <w:rPr>
          <w:b/>
          <w:sz w:val="22"/>
        </w:rPr>
        <w:t>Padrão de Processo</w:t>
      </w:r>
      <w:bookmarkEnd w:id="18"/>
    </w:p>
    <w:p w:rsidR="00E74B75" w:rsidRPr="00632D93" w:rsidRDefault="00E74B75" w:rsidP="00632D93">
      <w:pPr>
        <w:rPr>
          <w:rFonts w:asciiTheme="minorHAnsi" w:hAnsiTheme="minorHAnsi" w:cstheme="minorHAnsi"/>
          <w:sz w:val="22"/>
          <w:szCs w:val="22"/>
        </w:rPr>
      </w:pPr>
      <w:r w:rsidRPr="00632D93">
        <w:rPr>
          <w:rFonts w:ascii="Univers for KPMG" w:hAnsi="Univers for KPMG"/>
          <w:noProof/>
          <w:sz w:val="22"/>
          <w:szCs w:val="22"/>
        </w:rPr>
        <w:drawing>
          <wp:inline distT="0" distB="0" distL="0" distR="0" wp14:anchorId="27ED649D" wp14:editId="5939B027">
            <wp:extent cx="9320530" cy="2210440"/>
            <wp:effectExtent l="19050" t="19050" r="13970" b="184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0530" cy="221044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F113BE" w:rsidRPr="00632D93" w:rsidRDefault="00244CA1" w:rsidP="00502A6A">
      <w:pPr>
        <w:spacing w:after="160" w:line="259" w:lineRule="auto"/>
        <w:rPr>
          <w:rFonts w:asciiTheme="minorHAnsi" w:hAnsiTheme="minorHAnsi" w:cstheme="minorHAnsi"/>
          <w:sz w:val="20"/>
          <w:szCs w:val="22"/>
        </w:rPr>
      </w:pPr>
      <w:r w:rsidRPr="00632D93">
        <w:rPr>
          <w:rFonts w:asciiTheme="minorHAnsi" w:hAnsiTheme="minorHAnsi" w:cstheme="minorHAnsi"/>
          <w:sz w:val="20"/>
          <w:szCs w:val="22"/>
        </w:rPr>
        <w:t xml:space="preserve">Figura 2: </w:t>
      </w:r>
      <w:r w:rsidR="002676C2" w:rsidRPr="00632D93">
        <w:rPr>
          <w:rFonts w:asciiTheme="minorHAnsi" w:hAnsiTheme="minorHAnsi" w:cstheme="minorHAnsi"/>
          <w:sz w:val="20"/>
          <w:szCs w:val="22"/>
        </w:rPr>
        <w:t>Macrofluxograma do Processo</w:t>
      </w:r>
    </w:p>
    <w:p w:rsidR="00985AAB" w:rsidRPr="00632D93" w:rsidRDefault="00985AAB" w:rsidP="00502A6A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:rsidR="00F43A06" w:rsidRPr="00632D93" w:rsidRDefault="00F43A06" w:rsidP="006009D6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</w:p>
    <w:p w:rsidR="00502A6A" w:rsidRPr="00632D93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E74B75" w:rsidRPr="00632D93" w:rsidRDefault="00E74B75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632D93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484A4B" w:rsidRPr="00632D93" w:rsidRDefault="00632D93" w:rsidP="00632D93">
      <w:pPr>
        <w:pStyle w:val="Style2"/>
        <w:numPr>
          <w:ilvl w:val="1"/>
          <w:numId w:val="2"/>
        </w:numPr>
        <w:rPr>
          <w:b/>
          <w:sz w:val="22"/>
        </w:rPr>
      </w:pPr>
      <w:bookmarkStart w:id="19" w:name="_Toc492827564"/>
      <w:r w:rsidRPr="00632D93">
        <w:rPr>
          <w:b/>
          <w:sz w:val="22"/>
        </w:rPr>
        <w:t xml:space="preserve">Anexo II - </w:t>
      </w:r>
      <w:r w:rsidR="00484A4B" w:rsidRPr="00632D93">
        <w:rPr>
          <w:b/>
          <w:sz w:val="22"/>
        </w:rPr>
        <w:t>Matriz de Papéis e Responsabilidades</w:t>
      </w:r>
      <w:bookmarkEnd w:id="19"/>
    </w:p>
    <w:p w:rsidR="00130A65" w:rsidRPr="00632D93" w:rsidRDefault="00E74B75" w:rsidP="00632D93">
      <w:pPr>
        <w:rPr>
          <w:rFonts w:asciiTheme="minorHAnsi" w:hAnsiTheme="minorHAnsi" w:cstheme="minorHAnsi"/>
          <w:noProof/>
          <w:sz w:val="22"/>
          <w:szCs w:val="22"/>
        </w:rPr>
      </w:pPr>
      <w:r w:rsidRPr="00632D93">
        <w:rPr>
          <w:rFonts w:ascii="Univers for KPMG" w:hAnsi="Univers for KPMG"/>
          <w:noProof/>
          <w:sz w:val="22"/>
          <w:szCs w:val="22"/>
        </w:rPr>
        <w:drawing>
          <wp:inline distT="0" distB="0" distL="0" distR="0" wp14:anchorId="78849D34" wp14:editId="128FD239">
            <wp:extent cx="2905125" cy="3220107"/>
            <wp:effectExtent l="19050" t="19050" r="9525" b="184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10" cy="3301006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130A65" w:rsidRPr="00632D93" w:rsidRDefault="00244CA1" w:rsidP="00502A6A">
      <w:pPr>
        <w:spacing w:after="160" w:line="259" w:lineRule="auto"/>
        <w:rPr>
          <w:rFonts w:asciiTheme="minorHAnsi" w:hAnsiTheme="minorHAnsi" w:cstheme="minorHAnsi"/>
          <w:sz w:val="20"/>
          <w:szCs w:val="22"/>
        </w:rPr>
      </w:pPr>
      <w:r w:rsidRPr="00632D93">
        <w:rPr>
          <w:rFonts w:asciiTheme="minorHAnsi" w:hAnsiTheme="minorHAnsi" w:cstheme="minorHAnsi"/>
          <w:sz w:val="20"/>
          <w:szCs w:val="22"/>
        </w:rPr>
        <w:t>Figura 3:</w:t>
      </w:r>
      <w:r w:rsidR="00502A6A" w:rsidRPr="00632D93">
        <w:rPr>
          <w:rFonts w:asciiTheme="minorHAnsi" w:hAnsiTheme="minorHAnsi" w:cstheme="minorHAnsi"/>
          <w:sz w:val="20"/>
          <w:szCs w:val="22"/>
        </w:rPr>
        <w:t xml:space="preserve"> Matriz d</w:t>
      </w:r>
      <w:r w:rsidR="002676C2" w:rsidRPr="00632D93">
        <w:rPr>
          <w:rFonts w:asciiTheme="minorHAnsi" w:hAnsiTheme="minorHAnsi" w:cstheme="minorHAnsi"/>
          <w:sz w:val="20"/>
          <w:szCs w:val="22"/>
        </w:rPr>
        <w:t>e Papéis e Responsabilidades</w:t>
      </w:r>
      <w:r w:rsidR="00C655D0" w:rsidRPr="00632D93">
        <w:rPr>
          <w:rFonts w:asciiTheme="minorHAnsi" w:hAnsiTheme="minorHAnsi" w:cstheme="minorHAnsi"/>
          <w:sz w:val="20"/>
          <w:szCs w:val="22"/>
        </w:rPr>
        <w:t xml:space="preserve"> do Processo</w:t>
      </w:r>
    </w:p>
    <w:p w:rsidR="00821A62" w:rsidRPr="00632D93" w:rsidRDefault="00821A62" w:rsidP="00502A6A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:rsidR="006009D6" w:rsidRPr="00632D93" w:rsidRDefault="006009D6" w:rsidP="00502A6A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:rsidR="00F113BE" w:rsidRPr="00632D93" w:rsidRDefault="00F113BE" w:rsidP="00502A6A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:rsidR="00502A6A" w:rsidRPr="00632D93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484A4B" w:rsidRPr="00632D93" w:rsidRDefault="00632D93" w:rsidP="00632D93">
      <w:pPr>
        <w:pStyle w:val="Style2"/>
        <w:numPr>
          <w:ilvl w:val="1"/>
          <w:numId w:val="2"/>
        </w:numPr>
        <w:rPr>
          <w:b/>
          <w:sz w:val="22"/>
        </w:rPr>
      </w:pPr>
      <w:bookmarkStart w:id="20" w:name="_Toc492827565"/>
      <w:r w:rsidRPr="00632D93">
        <w:rPr>
          <w:b/>
          <w:sz w:val="22"/>
        </w:rPr>
        <w:t xml:space="preserve">Anexo III - </w:t>
      </w:r>
      <w:r w:rsidR="00484A4B" w:rsidRPr="00632D93">
        <w:rPr>
          <w:b/>
          <w:sz w:val="22"/>
        </w:rPr>
        <w:t>Indicadores de Performance do Processo</w:t>
      </w:r>
      <w:bookmarkEnd w:id="20"/>
    </w:p>
    <w:p w:rsidR="00AA0437" w:rsidRPr="00632D93" w:rsidRDefault="00AA0437" w:rsidP="00632D93">
      <w:pPr>
        <w:rPr>
          <w:rFonts w:asciiTheme="minorHAnsi" w:hAnsiTheme="minorHAnsi" w:cstheme="minorHAnsi"/>
          <w:sz w:val="22"/>
          <w:szCs w:val="22"/>
        </w:rPr>
      </w:pPr>
      <w:r w:rsidRPr="00632D93">
        <w:rPr>
          <w:noProof/>
          <w:sz w:val="22"/>
          <w:szCs w:val="22"/>
        </w:rPr>
        <w:drawing>
          <wp:inline distT="0" distB="0" distL="0" distR="0">
            <wp:extent cx="9320530" cy="880241"/>
            <wp:effectExtent l="19050" t="19050" r="13970" b="152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0530" cy="88024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655D0" w:rsidRPr="00632D93" w:rsidRDefault="00244CA1" w:rsidP="00C655D0">
      <w:pPr>
        <w:spacing w:line="360" w:lineRule="auto"/>
        <w:rPr>
          <w:rFonts w:asciiTheme="minorHAnsi" w:hAnsiTheme="minorHAnsi" w:cstheme="minorHAnsi"/>
          <w:sz w:val="20"/>
          <w:szCs w:val="22"/>
        </w:rPr>
      </w:pPr>
      <w:r w:rsidRPr="00632D93">
        <w:rPr>
          <w:rFonts w:asciiTheme="minorHAnsi" w:hAnsiTheme="minorHAnsi" w:cstheme="minorHAnsi"/>
          <w:sz w:val="20"/>
          <w:szCs w:val="22"/>
        </w:rPr>
        <w:t>Figura 4:</w:t>
      </w:r>
      <w:r w:rsidR="00C655D0" w:rsidRPr="00632D93">
        <w:rPr>
          <w:rFonts w:asciiTheme="minorHAnsi" w:hAnsiTheme="minorHAnsi" w:cstheme="minorHAnsi"/>
          <w:sz w:val="20"/>
          <w:szCs w:val="22"/>
        </w:rPr>
        <w:t xml:space="preserve"> Indicadores de Performance do Processo</w:t>
      </w:r>
    </w:p>
    <w:p w:rsidR="00821A62" w:rsidRPr="00632D93" w:rsidRDefault="00821A62" w:rsidP="00C655D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43A06" w:rsidRPr="00632D93" w:rsidRDefault="00F43A06" w:rsidP="00C655D0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  <w:r w:rsidRPr="00632D93">
        <w:rPr>
          <w:rFonts w:asciiTheme="minorHAnsi" w:hAnsiTheme="minorHAnsi" w:cstheme="minorHAnsi"/>
          <w:sz w:val="22"/>
          <w:szCs w:val="22"/>
        </w:rPr>
        <w:br w:type="page"/>
      </w:r>
    </w:p>
    <w:p w:rsidR="00502A6A" w:rsidRPr="00632D93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632D93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632D93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484A4B" w:rsidRPr="00632D93" w:rsidRDefault="00632D93" w:rsidP="00632D93">
      <w:pPr>
        <w:pStyle w:val="Style2"/>
        <w:numPr>
          <w:ilvl w:val="1"/>
          <w:numId w:val="2"/>
        </w:numPr>
        <w:rPr>
          <w:b/>
          <w:sz w:val="22"/>
        </w:rPr>
      </w:pPr>
      <w:bookmarkStart w:id="21" w:name="_Toc492827566"/>
      <w:r w:rsidRPr="00632D93">
        <w:rPr>
          <w:b/>
          <w:sz w:val="22"/>
        </w:rPr>
        <w:t xml:space="preserve">Anexo IV - </w:t>
      </w:r>
      <w:r w:rsidR="00484A4B" w:rsidRPr="00632D93">
        <w:rPr>
          <w:b/>
          <w:sz w:val="22"/>
        </w:rPr>
        <w:t>Mapa de Interface dos Processos</w:t>
      </w:r>
      <w:bookmarkEnd w:id="21"/>
    </w:p>
    <w:p w:rsidR="00264762" w:rsidRPr="00632D93" w:rsidRDefault="00264762" w:rsidP="00632D93">
      <w:pPr>
        <w:rPr>
          <w:rFonts w:ascii="Univers for KPMG" w:hAnsi="Univers for KPMG"/>
          <w:sz w:val="22"/>
          <w:szCs w:val="22"/>
        </w:rPr>
      </w:pPr>
      <w:r w:rsidRPr="00632D93">
        <w:rPr>
          <w:noProof/>
          <w:sz w:val="22"/>
          <w:szCs w:val="22"/>
        </w:rPr>
        <w:drawing>
          <wp:inline distT="0" distB="0" distL="0" distR="0" wp14:anchorId="04C50627" wp14:editId="1589C749">
            <wp:extent cx="6094821" cy="3276600"/>
            <wp:effectExtent l="19050" t="19050" r="20320" b="190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3271" t="9997" r="2610"/>
                    <a:stretch/>
                  </pic:blipFill>
                  <pic:spPr bwMode="auto">
                    <a:xfrm>
                      <a:off x="0" y="0"/>
                      <a:ext cx="6109829" cy="328466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4762" w:rsidRPr="00632D93" w:rsidRDefault="00264762" w:rsidP="00264762">
      <w:pPr>
        <w:pStyle w:val="Body"/>
        <w:spacing w:before="0" w:line="240" w:lineRule="auto"/>
        <w:rPr>
          <w:rFonts w:cstheme="minorHAnsi"/>
          <w:sz w:val="20"/>
        </w:rPr>
      </w:pPr>
      <w:r w:rsidRPr="00632D93">
        <w:rPr>
          <w:rFonts w:cstheme="minorHAnsi"/>
          <w:sz w:val="20"/>
        </w:rPr>
        <w:t>Figura 5: Mapa de Interface dos Processos</w:t>
      </w:r>
    </w:p>
    <w:p w:rsidR="006009D6" w:rsidRPr="00632D93" w:rsidRDefault="006009D6" w:rsidP="00264762">
      <w:pPr>
        <w:spacing w:line="360" w:lineRule="auto"/>
        <w:rPr>
          <w:rFonts w:cstheme="minorHAnsi"/>
          <w:sz w:val="22"/>
          <w:szCs w:val="22"/>
        </w:rPr>
      </w:pPr>
      <w:bookmarkStart w:id="22" w:name="_GoBack"/>
      <w:bookmarkEnd w:id="22"/>
    </w:p>
    <w:sectPr w:rsidR="006009D6" w:rsidRPr="00632D93" w:rsidSect="00042F73">
      <w:footerReference w:type="default" r:id="rId17"/>
      <w:type w:val="continuous"/>
      <w:pgSz w:w="16838" w:h="11906" w:orient="landscape"/>
      <w:pgMar w:top="1440" w:right="1080" w:bottom="1440" w:left="1080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46A" w:rsidRDefault="0046246A" w:rsidP="008D2702">
      <w:r>
        <w:separator/>
      </w:r>
    </w:p>
  </w:endnote>
  <w:endnote w:type="continuationSeparator" w:id="0">
    <w:p w:rsidR="0046246A" w:rsidRDefault="0046246A" w:rsidP="008D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Univers for KPMG">
    <w:altName w:val="Trebuchet MS"/>
    <w:charset w:val="00"/>
    <w:family w:val="swiss"/>
    <w:pitch w:val="variable"/>
    <w:sig w:usb0="00000001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CA1" w:rsidRPr="006E4A1B" w:rsidRDefault="00244CA1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D203D9">
      <w:rPr>
        <w:rFonts w:asciiTheme="minorHAnsi" w:hAnsiTheme="minorHAnsi"/>
        <w:noProof/>
        <w:sz w:val="20"/>
      </w:rPr>
      <w:t>12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D203D9">
      <w:rPr>
        <w:rFonts w:asciiTheme="minorHAnsi" w:hAnsiTheme="minorHAnsi"/>
        <w:noProof/>
        <w:sz w:val="20"/>
      </w:rPr>
      <w:t>17</w:t>
    </w:r>
    <w:r w:rsidRPr="006E4A1B">
      <w:rPr>
        <w:rFonts w:asciiTheme="minorHAnsi" w:hAnsiTheme="minorHAnsi"/>
        <w:sz w:val="20"/>
      </w:rPr>
      <w:fldChar w:fldCharType="end"/>
    </w:r>
  </w:p>
  <w:p w:rsidR="00244CA1" w:rsidRDefault="00244CA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8637" w:type="dxa"/>
      <w:jc w:val="center"/>
      <w:tblLook w:val="04A0" w:firstRow="1" w:lastRow="0" w:firstColumn="1" w:lastColumn="0" w:noHBand="0" w:noVBand="1"/>
    </w:tblPr>
    <w:tblGrid>
      <w:gridCol w:w="2879"/>
      <w:gridCol w:w="2879"/>
      <w:gridCol w:w="2879"/>
    </w:tblGrid>
    <w:tr w:rsidR="00A05C41" w:rsidTr="006E53DC">
      <w:trPr>
        <w:jc w:val="center"/>
      </w:trPr>
      <w:tc>
        <w:tcPr>
          <w:tcW w:w="2879" w:type="dxa"/>
        </w:tcPr>
        <w:p w:rsidR="00A05C41" w:rsidRDefault="00A05C41" w:rsidP="00A05C41">
          <w:pPr>
            <w:pStyle w:val="Rodap"/>
            <w:rPr>
              <w:rFonts w:asciiTheme="minorHAnsi" w:hAnsiTheme="minorHAnsi"/>
              <w:b/>
              <w:sz w:val="20"/>
            </w:rPr>
          </w:pPr>
          <w:r w:rsidRPr="00C7010C">
            <w:rPr>
              <w:rFonts w:asciiTheme="minorHAnsi" w:hAnsiTheme="minorHAnsi"/>
              <w:b/>
              <w:sz w:val="20"/>
            </w:rPr>
            <w:t>Elaborado por:</w:t>
          </w:r>
        </w:p>
        <w:p w:rsidR="00A05C41" w:rsidRDefault="00A05C41" w:rsidP="00A05C41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A05C41" w:rsidRDefault="00A05C41" w:rsidP="00A05C41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Júlia Costa</w:t>
          </w:r>
        </w:p>
        <w:p w:rsidR="00A05C41" w:rsidRDefault="00A05C41" w:rsidP="00A05C41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 xml:space="preserve">Coord. </w:t>
          </w:r>
          <w:proofErr w:type="spellStart"/>
          <w:r>
            <w:rPr>
              <w:rFonts w:asciiTheme="minorHAnsi" w:hAnsiTheme="minorHAnsi"/>
              <w:sz w:val="20"/>
            </w:rPr>
            <w:t>Acomp</w:t>
          </w:r>
          <w:proofErr w:type="spellEnd"/>
          <w:r>
            <w:rPr>
              <w:rFonts w:asciiTheme="minorHAnsi" w:hAnsiTheme="minorHAnsi"/>
              <w:sz w:val="20"/>
            </w:rPr>
            <w:t xml:space="preserve">. Contr. </w:t>
          </w:r>
          <w:proofErr w:type="spellStart"/>
          <w:r>
            <w:rPr>
              <w:rFonts w:asciiTheme="minorHAnsi" w:hAnsiTheme="minorHAnsi"/>
              <w:sz w:val="20"/>
            </w:rPr>
            <w:t>da</w:t>
          </w:r>
          <w:proofErr w:type="spellEnd"/>
          <w:r>
            <w:rPr>
              <w:rFonts w:asciiTheme="minorHAnsi" w:hAnsiTheme="minorHAnsi"/>
              <w:sz w:val="20"/>
            </w:rPr>
            <w:t xml:space="preserve"> Prod.</w:t>
          </w:r>
        </w:p>
      </w:tc>
      <w:tc>
        <w:tcPr>
          <w:tcW w:w="2879" w:type="dxa"/>
        </w:tcPr>
        <w:p w:rsidR="00A05C41" w:rsidRDefault="00A05C41" w:rsidP="00A05C41">
          <w:pPr>
            <w:pStyle w:val="Rodap"/>
            <w:rPr>
              <w:rFonts w:asciiTheme="minorHAnsi" w:hAnsiTheme="minorHAnsi"/>
              <w:b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Revisado</w:t>
          </w:r>
          <w:r w:rsidRPr="00C7010C">
            <w:rPr>
              <w:rFonts w:asciiTheme="minorHAnsi" w:hAnsiTheme="minorHAnsi"/>
              <w:b/>
              <w:sz w:val="20"/>
            </w:rPr>
            <w:t xml:space="preserve"> por:</w:t>
          </w:r>
        </w:p>
        <w:p w:rsidR="00A05C41" w:rsidRDefault="00A05C41" w:rsidP="00A05C41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A05C41" w:rsidRDefault="00A05C41" w:rsidP="00A05C41">
          <w:pPr>
            <w:pStyle w:val="Rodap"/>
            <w:rPr>
              <w:rFonts w:asciiTheme="minorHAnsi" w:hAnsiTheme="minorHAnsi"/>
              <w:sz w:val="20"/>
            </w:rPr>
          </w:pPr>
          <w:r w:rsidRPr="009460EA">
            <w:rPr>
              <w:rFonts w:asciiTheme="minorHAnsi" w:hAnsiTheme="minorHAnsi"/>
              <w:sz w:val="20"/>
            </w:rPr>
            <w:t>Luiz</w:t>
          </w:r>
          <w:r>
            <w:rPr>
              <w:rFonts w:asciiTheme="minorHAnsi" w:hAnsiTheme="minorHAnsi"/>
              <w:sz w:val="20"/>
            </w:rPr>
            <w:t xml:space="preserve"> Guilherme dos Santos</w:t>
          </w:r>
        </w:p>
        <w:p w:rsidR="00A05C41" w:rsidRDefault="00A05C41" w:rsidP="00A05C41">
          <w:pPr>
            <w:pStyle w:val="Rodap"/>
            <w:rPr>
              <w:rFonts w:asciiTheme="minorHAnsi" w:hAnsiTheme="minorHAnsi"/>
              <w:sz w:val="20"/>
            </w:rPr>
          </w:pPr>
          <w:proofErr w:type="spellStart"/>
          <w:r>
            <w:rPr>
              <w:rFonts w:asciiTheme="minorHAnsi" w:hAnsiTheme="minorHAnsi"/>
              <w:sz w:val="20"/>
            </w:rPr>
            <w:t>Superint</w:t>
          </w:r>
          <w:proofErr w:type="spellEnd"/>
          <w:r>
            <w:rPr>
              <w:rFonts w:asciiTheme="minorHAnsi" w:hAnsiTheme="minorHAnsi"/>
              <w:sz w:val="20"/>
            </w:rPr>
            <w:t xml:space="preserve">. </w:t>
          </w:r>
          <w:proofErr w:type="gramStart"/>
          <w:r>
            <w:rPr>
              <w:rFonts w:asciiTheme="minorHAnsi" w:hAnsiTheme="minorHAnsi"/>
              <w:sz w:val="20"/>
            </w:rPr>
            <w:t>de</w:t>
          </w:r>
          <w:proofErr w:type="gramEnd"/>
          <w:r>
            <w:rPr>
              <w:rFonts w:asciiTheme="minorHAnsi" w:hAnsiTheme="minorHAnsi"/>
              <w:sz w:val="20"/>
            </w:rPr>
            <w:t xml:space="preserve"> </w:t>
          </w:r>
          <w:proofErr w:type="spellStart"/>
          <w:r>
            <w:rPr>
              <w:rFonts w:asciiTheme="minorHAnsi" w:hAnsiTheme="minorHAnsi"/>
              <w:sz w:val="20"/>
            </w:rPr>
            <w:t>Desenv</w:t>
          </w:r>
          <w:proofErr w:type="spellEnd"/>
          <w:r>
            <w:rPr>
              <w:rFonts w:asciiTheme="minorHAnsi" w:hAnsiTheme="minorHAnsi"/>
              <w:sz w:val="20"/>
            </w:rPr>
            <w:t xml:space="preserve">. </w:t>
          </w:r>
          <w:proofErr w:type="gramStart"/>
          <w:r>
            <w:rPr>
              <w:rFonts w:asciiTheme="minorHAnsi" w:hAnsiTheme="minorHAnsi"/>
              <w:sz w:val="20"/>
            </w:rPr>
            <w:t>e</w:t>
          </w:r>
          <w:proofErr w:type="gramEnd"/>
          <w:r>
            <w:rPr>
              <w:rFonts w:asciiTheme="minorHAnsi" w:hAnsiTheme="minorHAnsi"/>
              <w:sz w:val="20"/>
            </w:rPr>
            <w:t xml:space="preserve"> Produção</w:t>
          </w:r>
        </w:p>
      </w:tc>
      <w:tc>
        <w:tcPr>
          <w:tcW w:w="2879" w:type="dxa"/>
        </w:tcPr>
        <w:p w:rsidR="00A05C41" w:rsidRDefault="00A05C41" w:rsidP="00A05C41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Aprovado</w:t>
          </w:r>
          <w:r w:rsidRPr="00C7010C">
            <w:rPr>
              <w:rFonts w:asciiTheme="minorHAnsi" w:hAnsiTheme="minorHAnsi"/>
              <w:b/>
              <w:sz w:val="20"/>
            </w:rPr>
            <w:t xml:space="preserve"> por:</w:t>
          </w:r>
          <w:r>
            <w:rPr>
              <w:rFonts w:asciiTheme="minorHAnsi" w:hAnsiTheme="minorHAnsi"/>
              <w:sz w:val="20"/>
            </w:rPr>
            <w:t xml:space="preserve"> </w:t>
          </w:r>
        </w:p>
        <w:p w:rsidR="00A05C41" w:rsidRDefault="00A05C41" w:rsidP="00A05C41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A05C41" w:rsidRDefault="00A05C41" w:rsidP="00A05C41">
          <w:pPr>
            <w:pStyle w:val="Rodap"/>
            <w:rPr>
              <w:rFonts w:asciiTheme="minorHAnsi" w:hAnsiTheme="minorHAnsi"/>
              <w:sz w:val="20"/>
            </w:rPr>
          </w:pPr>
          <w:r w:rsidRPr="009460EA">
            <w:rPr>
              <w:rFonts w:asciiTheme="minorHAnsi" w:hAnsiTheme="minorHAnsi"/>
              <w:sz w:val="20"/>
            </w:rPr>
            <w:t>Paulo Carvalho</w:t>
          </w:r>
        </w:p>
        <w:p w:rsidR="00A05C41" w:rsidRPr="00C7010C" w:rsidRDefault="00A05C41" w:rsidP="00A05C41">
          <w:pPr>
            <w:pStyle w:val="Rodap"/>
            <w:rPr>
              <w:rFonts w:asciiTheme="minorHAnsi" w:hAnsiTheme="minorHAnsi"/>
              <w:b/>
              <w:sz w:val="20"/>
            </w:rPr>
          </w:pPr>
          <w:r>
            <w:rPr>
              <w:rFonts w:asciiTheme="minorHAnsi" w:hAnsiTheme="minorHAnsi"/>
              <w:sz w:val="20"/>
            </w:rPr>
            <w:t>Diretor Técnico e de Fiscalização</w:t>
          </w:r>
        </w:p>
      </w:tc>
    </w:tr>
  </w:tbl>
  <w:p w:rsidR="00632D93" w:rsidRPr="006E4A1B" w:rsidRDefault="00632D93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D203D9">
      <w:rPr>
        <w:rFonts w:asciiTheme="minorHAnsi" w:hAnsiTheme="minorHAnsi"/>
        <w:noProof/>
        <w:sz w:val="20"/>
      </w:rPr>
      <w:t>13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D203D9">
      <w:rPr>
        <w:rFonts w:asciiTheme="minorHAnsi" w:hAnsiTheme="minorHAnsi"/>
        <w:noProof/>
        <w:sz w:val="20"/>
      </w:rPr>
      <w:t>17</w:t>
    </w:r>
    <w:r w:rsidRPr="006E4A1B">
      <w:rPr>
        <w:rFonts w:asciiTheme="minorHAnsi" w:hAnsiTheme="minorHAnsi"/>
        <w:sz w:val="20"/>
      </w:rPr>
      <w:fldChar w:fldCharType="end"/>
    </w:r>
  </w:p>
  <w:p w:rsidR="00632D93" w:rsidRDefault="00632D93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CA1" w:rsidRPr="006E4A1B" w:rsidRDefault="00244CA1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D203D9">
      <w:rPr>
        <w:rFonts w:asciiTheme="minorHAnsi" w:hAnsiTheme="minorHAnsi"/>
        <w:noProof/>
        <w:sz w:val="20"/>
      </w:rPr>
      <w:t>17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D203D9">
      <w:rPr>
        <w:rFonts w:asciiTheme="minorHAnsi" w:hAnsiTheme="minorHAnsi"/>
        <w:noProof/>
        <w:sz w:val="20"/>
      </w:rPr>
      <w:t>17</w:t>
    </w:r>
    <w:r w:rsidRPr="006E4A1B">
      <w:rPr>
        <w:rFonts w:asciiTheme="minorHAnsi" w:hAnsiTheme="minorHAnsi"/>
        <w:sz w:val="20"/>
      </w:rPr>
      <w:fldChar w:fldCharType="end"/>
    </w:r>
  </w:p>
  <w:p w:rsidR="00244CA1" w:rsidRDefault="00244CA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46A" w:rsidRDefault="0046246A" w:rsidP="008D2702">
      <w:r>
        <w:separator/>
      </w:r>
    </w:p>
  </w:footnote>
  <w:footnote w:type="continuationSeparator" w:id="0">
    <w:p w:rsidR="0046246A" w:rsidRDefault="0046246A" w:rsidP="008D2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page" w:horzAnchor="page" w:tblpXSpec="center" w:tblpY="572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79"/>
      <w:gridCol w:w="4876"/>
      <w:gridCol w:w="1139"/>
      <w:gridCol w:w="1738"/>
    </w:tblGrid>
    <w:tr w:rsidR="00244CA1" w:rsidRPr="008D2702" w:rsidTr="006009D6">
      <w:trPr>
        <w:trHeight w:hRule="exact" w:val="1134"/>
      </w:trPr>
      <w:tc>
        <w:tcPr>
          <w:tcW w:w="2479" w:type="dxa"/>
          <w:vMerge w:val="restart"/>
          <w:shd w:val="clear" w:color="auto" w:fill="auto"/>
          <w:tcMar>
            <w:left w:w="0" w:type="dxa"/>
            <w:right w:w="0" w:type="dxa"/>
          </w:tcMar>
        </w:tcPr>
        <w:p w:rsidR="00244CA1" w:rsidRPr="008D2702" w:rsidRDefault="00244CA1" w:rsidP="00F34D6C">
          <w:pPr>
            <w:spacing w:line="278" w:lineRule="exact"/>
            <w:jc w:val="center"/>
            <w:rPr>
              <w:rFonts w:asciiTheme="majorHAnsi" w:hAnsiTheme="majorHAnsi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4669AB6" wp14:editId="7F4A2D3A">
                <wp:simplePos x="0" y="0"/>
                <wp:positionH relativeFrom="column">
                  <wp:posOffset>340360</wp:posOffset>
                </wp:positionH>
                <wp:positionV relativeFrom="paragraph">
                  <wp:posOffset>9525</wp:posOffset>
                </wp:positionV>
                <wp:extent cx="793750" cy="1123315"/>
                <wp:effectExtent l="0" t="0" r="6350" b="635"/>
                <wp:wrapSquare wrapText="bothSides"/>
                <wp:docPr id="5" name="Image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PSA_vertical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750" cy="1123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  <w:vMerge w:val="restart"/>
          <w:shd w:val="clear" w:color="auto" w:fill="auto"/>
          <w:tcMar>
            <w:left w:w="0" w:type="dxa"/>
            <w:right w:w="0" w:type="dxa"/>
          </w:tcMar>
          <w:vAlign w:val="center"/>
        </w:tcPr>
        <w:p w:rsidR="009B251C" w:rsidRPr="009B251C" w:rsidRDefault="00632D93" w:rsidP="009B251C">
          <w:pPr>
            <w:jc w:val="center"/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</w:pPr>
          <w:r w:rsidRPr="009B251C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 xml:space="preserve">PROCEDIMENTO DE CÁLCULO DOS EXCEDENTES E </w:t>
          </w:r>
        </w:p>
        <w:p w:rsidR="00244CA1" w:rsidRPr="00567994" w:rsidRDefault="00632D93" w:rsidP="009B251C">
          <w:pPr>
            <w:jc w:val="center"/>
            <w:rPr>
              <w:rFonts w:asciiTheme="majorHAnsi" w:hAnsiTheme="majorHAnsi" w:cs="Arial"/>
              <w:sz w:val="20"/>
              <w:szCs w:val="20"/>
            </w:rPr>
          </w:pPr>
          <w:r w:rsidRPr="009B251C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PARCELAS DA PRODUÇÃO</w:t>
          </w:r>
        </w:p>
      </w:tc>
      <w:tc>
        <w:tcPr>
          <w:tcW w:w="2877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244CA1" w:rsidRPr="00A37EDD" w:rsidRDefault="00244CA1" w:rsidP="00F34D6C">
          <w:pPr>
            <w:spacing w:line="429" w:lineRule="exact"/>
            <w:ind w:left="170"/>
            <w:jc w:val="center"/>
            <w:rPr>
              <w:rFonts w:asciiTheme="majorHAnsi" w:hAnsiTheme="majorHAnsi" w:cs="Arial"/>
              <w:sz w:val="22"/>
              <w:szCs w:val="20"/>
            </w:rPr>
          </w:pPr>
          <w:r>
            <w:rPr>
              <w:rFonts w:asciiTheme="majorHAnsi" w:hAnsiTheme="majorHAnsi" w:cs="Arial"/>
              <w:sz w:val="22"/>
              <w:szCs w:val="20"/>
            </w:rPr>
            <w:t>PROCEDIMENTO</w:t>
          </w:r>
          <w:r w:rsidRPr="00A37EDD">
            <w:rPr>
              <w:rFonts w:asciiTheme="majorHAnsi" w:hAnsiTheme="majorHAnsi" w:cs="Arial"/>
              <w:sz w:val="22"/>
              <w:szCs w:val="20"/>
            </w:rPr>
            <w:t xml:space="preserve"> Nº</w:t>
          </w:r>
        </w:p>
        <w:p w:rsidR="00244CA1" w:rsidRPr="00A37EDD" w:rsidRDefault="009B251C" w:rsidP="00F34D6C">
          <w:pPr>
            <w:spacing w:line="429" w:lineRule="exact"/>
            <w:ind w:left="170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9B251C">
            <w:rPr>
              <w:rFonts w:asciiTheme="majorHAnsi" w:hAnsiTheme="majorHAnsi" w:cs="Arial"/>
              <w:sz w:val="22"/>
              <w:szCs w:val="20"/>
            </w:rPr>
            <w:t>PP.DTF.003/2017</w:t>
          </w:r>
        </w:p>
      </w:tc>
    </w:tr>
    <w:tr w:rsidR="00244CA1" w:rsidRPr="008D2702" w:rsidTr="006009D6">
      <w:trPr>
        <w:trHeight w:hRule="exact" w:val="349"/>
      </w:trPr>
      <w:tc>
        <w:tcPr>
          <w:tcW w:w="2479" w:type="dxa"/>
          <w:vMerge/>
          <w:shd w:val="clear" w:color="auto" w:fill="auto"/>
          <w:tcMar>
            <w:left w:w="0" w:type="dxa"/>
            <w:right w:w="0" w:type="dxa"/>
          </w:tcMar>
        </w:tcPr>
        <w:p w:rsidR="00244CA1" w:rsidRPr="008D2702" w:rsidRDefault="00244CA1" w:rsidP="00F34D6C">
          <w:pPr>
            <w:spacing w:line="492" w:lineRule="exact"/>
            <w:jc w:val="center"/>
            <w:rPr>
              <w:rFonts w:asciiTheme="majorHAnsi" w:hAnsiTheme="majorHAnsi"/>
            </w:rPr>
          </w:pPr>
        </w:p>
      </w:tc>
      <w:tc>
        <w:tcPr>
          <w:tcW w:w="4876" w:type="dxa"/>
          <w:vMerge/>
          <w:shd w:val="clear" w:color="auto" w:fill="auto"/>
          <w:tcMar>
            <w:left w:w="0" w:type="dxa"/>
            <w:right w:w="0" w:type="dxa"/>
          </w:tcMar>
        </w:tcPr>
        <w:p w:rsidR="00244CA1" w:rsidRPr="008D2702" w:rsidRDefault="00244CA1" w:rsidP="00F34D6C">
          <w:pPr>
            <w:spacing w:line="492" w:lineRule="exact"/>
            <w:jc w:val="center"/>
            <w:rPr>
              <w:rFonts w:asciiTheme="majorHAnsi" w:hAnsiTheme="majorHAnsi"/>
            </w:rPr>
          </w:pPr>
        </w:p>
      </w:tc>
      <w:tc>
        <w:tcPr>
          <w:tcW w:w="1139" w:type="dxa"/>
          <w:shd w:val="clear" w:color="auto" w:fill="auto"/>
          <w:tcMar>
            <w:left w:w="0" w:type="dxa"/>
            <w:right w:w="0" w:type="dxa"/>
          </w:tcMar>
        </w:tcPr>
        <w:p w:rsidR="00244CA1" w:rsidRPr="00A37EDD" w:rsidRDefault="00244CA1" w:rsidP="00F34D6C">
          <w:pPr>
            <w:spacing w:line="301" w:lineRule="exact"/>
            <w:ind w:left="108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VERSÃO</w:t>
          </w:r>
        </w:p>
      </w:tc>
      <w:tc>
        <w:tcPr>
          <w:tcW w:w="1738" w:type="dxa"/>
          <w:shd w:val="clear" w:color="auto" w:fill="auto"/>
          <w:tcMar>
            <w:left w:w="0" w:type="dxa"/>
            <w:right w:w="0" w:type="dxa"/>
          </w:tcMar>
        </w:tcPr>
        <w:p w:rsidR="00244CA1" w:rsidRPr="00A37EDD" w:rsidRDefault="00244CA1" w:rsidP="00F34D6C">
          <w:pPr>
            <w:spacing w:line="301" w:lineRule="exact"/>
            <w:ind w:left="109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spacing w:val="-1"/>
              <w:w w:val="95"/>
              <w:sz w:val="22"/>
              <w:szCs w:val="20"/>
            </w:rPr>
            <w:t>APROVADO EM</w:t>
          </w:r>
        </w:p>
      </w:tc>
    </w:tr>
    <w:tr w:rsidR="00244CA1" w:rsidRPr="008D2702" w:rsidTr="006009D6">
      <w:trPr>
        <w:trHeight w:hRule="exact" w:val="364"/>
      </w:trPr>
      <w:tc>
        <w:tcPr>
          <w:tcW w:w="2479" w:type="dxa"/>
          <w:vMerge/>
          <w:shd w:val="clear" w:color="auto" w:fill="auto"/>
          <w:tcMar>
            <w:left w:w="0" w:type="dxa"/>
            <w:right w:w="0" w:type="dxa"/>
          </w:tcMar>
        </w:tcPr>
        <w:p w:rsidR="00244CA1" w:rsidRPr="008D2702" w:rsidRDefault="00244CA1" w:rsidP="00F34D6C">
          <w:pPr>
            <w:spacing w:line="301" w:lineRule="exact"/>
            <w:jc w:val="center"/>
            <w:rPr>
              <w:rFonts w:asciiTheme="majorHAnsi" w:hAnsiTheme="majorHAnsi"/>
            </w:rPr>
          </w:pPr>
        </w:p>
      </w:tc>
      <w:tc>
        <w:tcPr>
          <w:tcW w:w="4876" w:type="dxa"/>
          <w:vMerge/>
          <w:shd w:val="clear" w:color="auto" w:fill="auto"/>
          <w:tcMar>
            <w:left w:w="0" w:type="dxa"/>
            <w:right w:w="0" w:type="dxa"/>
          </w:tcMar>
        </w:tcPr>
        <w:p w:rsidR="00244CA1" w:rsidRPr="008D2702" w:rsidRDefault="00244CA1" w:rsidP="00F34D6C">
          <w:pPr>
            <w:spacing w:line="301" w:lineRule="exact"/>
            <w:jc w:val="center"/>
            <w:rPr>
              <w:rFonts w:asciiTheme="majorHAnsi" w:hAnsiTheme="majorHAnsi"/>
            </w:rPr>
          </w:pPr>
        </w:p>
      </w:tc>
      <w:tc>
        <w:tcPr>
          <w:tcW w:w="1139" w:type="dxa"/>
          <w:shd w:val="clear" w:color="auto" w:fill="auto"/>
          <w:tcMar>
            <w:left w:w="0" w:type="dxa"/>
            <w:right w:w="0" w:type="dxa"/>
          </w:tcMar>
        </w:tcPr>
        <w:p w:rsidR="00244CA1" w:rsidRPr="00A37EDD" w:rsidRDefault="00244CA1" w:rsidP="00F34D6C">
          <w:pPr>
            <w:spacing w:line="318" w:lineRule="exact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00</w:t>
          </w:r>
        </w:p>
      </w:tc>
      <w:tc>
        <w:tcPr>
          <w:tcW w:w="1738" w:type="dxa"/>
          <w:shd w:val="clear" w:color="auto" w:fill="auto"/>
          <w:tcMar>
            <w:left w:w="0" w:type="dxa"/>
            <w:right w:w="0" w:type="dxa"/>
          </w:tcMar>
        </w:tcPr>
        <w:p w:rsidR="00244CA1" w:rsidRPr="00A37EDD" w:rsidRDefault="00244CA1" w:rsidP="00F34D6C">
          <w:pPr>
            <w:spacing w:line="318" w:lineRule="exact"/>
            <w:jc w:val="center"/>
            <w:rPr>
              <w:rFonts w:asciiTheme="majorHAnsi" w:hAnsiTheme="majorHAnsi" w:cs="Arial"/>
              <w:sz w:val="22"/>
              <w:szCs w:val="20"/>
            </w:rPr>
          </w:pPr>
          <w:r>
            <w:rPr>
              <w:rFonts w:asciiTheme="majorHAnsi" w:hAnsiTheme="majorHAnsi" w:cs="Arial"/>
              <w:sz w:val="22"/>
              <w:szCs w:val="20"/>
            </w:rPr>
            <w:t>##</w:t>
          </w:r>
          <w:r w:rsidRPr="00A37EDD">
            <w:rPr>
              <w:rFonts w:asciiTheme="majorHAnsi" w:hAnsiTheme="majorHAnsi" w:cs="Arial"/>
              <w:sz w:val="22"/>
              <w:szCs w:val="20"/>
            </w:rPr>
            <w:t>/</w:t>
          </w:r>
          <w:r>
            <w:rPr>
              <w:rFonts w:asciiTheme="majorHAnsi" w:hAnsiTheme="majorHAnsi" w:cs="Arial"/>
              <w:sz w:val="22"/>
              <w:szCs w:val="20"/>
            </w:rPr>
            <w:t>##/</w:t>
          </w:r>
          <w:r w:rsidRPr="00A37EDD">
            <w:rPr>
              <w:rFonts w:asciiTheme="majorHAnsi" w:hAnsiTheme="majorHAnsi" w:cs="Arial"/>
              <w:sz w:val="22"/>
              <w:szCs w:val="20"/>
            </w:rPr>
            <w:t>20</w:t>
          </w:r>
          <w:r>
            <w:rPr>
              <w:rFonts w:asciiTheme="majorHAnsi" w:hAnsiTheme="majorHAnsi" w:cs="Arial"/>
              <w:sz w:val="22"/>
              <w:szCs w:val="20"/>
            </w:rPr>
            <w:t>##</w:t>
          </w:r>
        </w:p>
      </w:tc>
    </w:tr>
  </w:tbl>
  <w:p w:rsidR="00244CA1" w:rsidRDefault="00244CA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549E"/>
    <w:multiLevelType w:val="multilevel"/>
    <w:tmpl w:val="8CC00532"/>
    <w:lvl w:ilvl="0">
      <w:start w:val="1"/>
      <w:numFmt w:val="decimal"/>
      <w:pStyle w:val="Style1"/>
      <w:lvlText w:val="%1."/>
      <w:lvlJc w:val="left"/>
      <w:pPr>
        <w:ind w:left="6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432"/>
      </w:pPr>
    </w:lvl>
    <w:lvl w:ilvl="2">
      <w:start w:val="1"/>
      <w:numFmt w:val="decimal"/>
      <w:lvlText w:val="%1.%2.%3."/>
      <w:lvlJc w:val="left"/>
      <w:pPr>
        <w:ind w:left="150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006" w:hanging="648"/>
      </w:pPr>
    </w:lvl>
    <w:lvl w:ilvl="4">
      <w:start w:val="1"/>
      <w:numFmt w:val="decimal"/>
      <w:lvlText w:val="%1.%2.%3.%4.%5."/>
      <w:lvlJc w:val="left"/>
      <w:pPr>
        <w:ind w:left="2510" w:hanging="792"/>
      </w:pPr>
    </w:lvl>
    <w:lvl w:ilvl="5">
      <w:start w:val="1"/>
      <w:numFmt w:val="decimal"/>
      <w:lvlText w:val="%1.%2.%3.%4.%5.%6."/>
      <w:lvlJc w:val="left"/>
      <w:pPr>
        <w:ind w:left="3014" w:hanging="936"/>
      </w:pPr>
    </w:lvl>
    <w:lvl w:ilvl="6">
      <w:start w:val="1"/>
      <w:numFmt w:val="decimal"/>
      <w:lvlText w:val="%1.%2.%3.%4.%5.%6.%7."/>
      <w:lvlJc w:val="left"/>
      <w:pPr>
        <w:ind w:left="3518" w:hanging="1080"/>
      </w:pPr>
    </w:lvl>
    <w:lvl w:ilvl="7">
      <w:start w:val="1"/>
      <w:numFmt w:val="decimal"/>
      <w:lvlText w:val="%1.%2.%3.%4.%5.%6.%7.%8."/>
      <w:lvlJc w:val="left"/>
      <w:pPr>
        <w:ind w:left="4022" w:hanging="1224"/>
      </w:pPr>
    </w:lvl>
    <w:lvl w:ilvl="8">
      <w:start w:val="1"/>
      <w:numFmt w:val="decimal"/>
      <w:lvlText w:val="%1.%2.%3.%4.%5.%6.%7.%8.%9."/>
      <w:lvlJc w:val="left"/>
      <w:pPr>
        <w:ind w:left="4598" w:hanging="1440"/>
      </w:pPr>
    </w:lvl>
  </w:abstractNum>
  <w:abstractNum w:abstractNumId="1" w15:restartNumberingAfterBreak="0">
    <w:nsid w:val="04A56455"/>
    <w:multiLevelType w:val="hybridMultilevel"/>
    <w:tmpl w:val="E4506B56"/>
    <w:lvl w:ilvl="0" w:tplc="F0220E38">
      <w:start w:val="1"/>
      <w:numFmt w:val="lowerLetter"/>
      <w:lvlText w:val="%1)"/>
      <w:lvlJc w:val="left"/>
      <w:pPr>
        <w:ind w:left="1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78" w:hanging="360"/>
      </w:pPr>
    </w:lvl>
    <w:lvl w:ilvl="2" w:tplc="0416001B" w:tentative="1">
      <w:start w:val="1"/>
      <w:numFmt w:val="lowerRoman"/>
      <w:lvlText w:val="%3."/>
      <w:lvlJc w:val="right"/>
      <w:pPr>
        <w:ind w:left="2798" w:hanging="180"/>
      </w:pPr>
    </w:lvl>
    <w:lvl w:ilvl="3" w:tplc="0416000F" w:tentative="1">
      <w:start w:val="1"/>
      <w:numFmt w:val="decimal"/>
      <w:lvlText w:val="%4."/>
      <w:lvlJc w:val="left"/>
      <w:pPr>
        <w:ind w:left="3518" w:hanging="360"/>
      </w:pPr>
    </w:lvl>
    <w:lvl w:ilvl="4" w:tplc="04160019" w:tentative="1">
      <w:start w:val="1"/>
      <w:numFmt w:val="lowerLetter"/>
      <w:lvlText w:val="%5."/>
      <w:lvlJc w:val="left"/>
      <w:pPr>
        <w:ind w:left="4238" w:hanging="360"/>
      </w:pPr>
    </w:lvl>
    <w:lvl w:ilvl="5" w:tplc="0416001B" w:tentative="1">
      <w:start w:val="1"/>
      <w:numFmt w:val="lowerRoman"/>
      <w:lvlText w:val="%6."/>
      <w:lvlJc w:val="right"/>
      <w:pPr>
        <w:ind w:left="4958" w:hanging="180"/>
      </w:pPr>
    </w:lvl>
    <w:lvl w:ilvl="6" w:tplc="0416000F" w:tentative="1">
      <w:start w:val="1"/>
      <w:numFmt w:val="decimal"/>
      <w:lvlText w:val="%7."/>
      <w:lvlJc w:val="left"/>
      <w:pPr>
        <w:ind w:left="5678" w:hanging="360"/>
      </w:pPr>
    </w:lvl>
    <w:lvl w:ilvl="7" w:tplc="04160019" w:tentative="1">
      <w:start w:val="1"/>
      <w:numFmt w:val="lowerLetter"/>
      <w:lvlText w:val="%8."/>
      <w:lvlJc w:val="left"/>
      <w:pPr>
        <w:ind w:left="6398" w:hanging="360"/>
      </w:pPr>
    </w:lvl>
    <w:lvl w:ilvl="8" w:tplc="0416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2" w15:restartNumberingAfterBreak="0">
    <w:nsid w:val="143D0C55"/>
    <w:multiLevelType w:val="hybridMultilevel"/>
    <w:tmpl w:val="AE28E404"/>
    <w:lvl w:ilvl="0" w:tplc="04160005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" w15:restartNumberingAfterBreak="0">
    <w:nsid w:val="23BC175F"/>
    <w:multiLevelType w:val="hybridMultilevel"/>
    <w:tmpl w:val="B296D608"/>
    <w:lvl w:ilvl="0" w:tplc="0416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2A8B58F0"/>
    <w:multiLevelType w:val="hybridMultilevel"/>
    <w:tmpl w:val="7B8C0950"/>
    <w:lvl w:ilvl="0" w:tplc="0416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AED35E">
      <w:start w:val="1"/>
      <w:numFmt w:val="bullet"/>
      <w:lvlText w:val="—"/>
      <w:lvlJc w:val="left"/>
      <w:pPr>
        <w:ind w:left="2574" w:hanging="360"/>
      </w:pPr>
      <w:rPr>
        <w:rFonts w:ascii="Arial" w:hAnsi="Arial" w:cs="Arial" w:hint="default"/>
        <w:color w:val="auto"/>
        <w:sz w:val="24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C115483"/>
    <w:multiLevelType w:val="hybridMultilevel"/>
    <w:tmpl w:val="EEACF066"/>
    <w:lvl w:ilvl="0" w:tplc="3BEE78B4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04" w:hanging="360"/>
      </w:pPr>
    </w:lvl>
    <w:lvl w:ilvl="2" w:tplc="0416001B" w:tentative="1">
      <w:start w:val="1"/>
      <w:numFmt w:val="lowerRoman"/>
      <w:lvlText w:val="%3."/>
      <w:lvlJc w:val="right"/>
      <w:pPr>
        <w:ind w:left="3024" w:hanging="180"/>
      </w:pPr>
    </w:lvl>
    <w:lvl w:ilvl="3" w:tplc="0416000F" w:tentative="1">
      <w:start w:val="1"/>
      <w:numFmt w:val="decimal"/>
      <w:lvlText w:val="%4."/>
      <w:lvlJc w:val="left"/>
      <w:pPr>
        <w:ind w:left="3744" w:hanging="360"/>
      </w:pPr>
    </w:lvl>
    <w:lvl w:ilvl="4" w:tplc="04160019" w:tentative="1">
      <w:start w:val="1"/>
      <w:numFmt w:val="lowerLetter"/>
      <w:lvlText w:val="%5."/>
      <w:lvlJc w:val="left"/>
      <w:pPr>
        <w:ind w:left="4464" w:hanging="360"/>
      </w:pPr>
    </w:lvl>
    <w:lvl w:ilvl="5" w:tplc="0416001B" w:tentative="1">
      <w:start w:val="1"/>
      <w:numFmt w:val="lowerRoman"/>
      <w:lvlText w:val="%6."/>
      <w:lvlJc w:val="right"/>
      <w:pPr>
        <w:ind w:left="5184" w:hanging="180"/>
      </w:pPr>
    </w:lvl>
    <w:lvl w:ilvl="6" w:tplc="0416000F" w:tentative="1">
      <w:start w:val="1"/>
      <w:numFmt w:val="decimal"/>
      <w:lvlText w:val="%7."/>
      <w:lvlJc w:val="left"/>
      <w:pPr>
        <w:ind w:left="5904" w:hanging="360"/>
      </w:pPr>
    </w:lvl>
    <w:lvl w:ilvl="7" w:tplc="04160019" w:tentative="1">
      <w:start w:val="1"/>
      <w:numFmt w:val="lowerLetter"/>
      <w:lvlText w:val="%8."/>
      <w:lvlJc w:val="left"/>
      <w:pPr>
        <w:ind w:left="6624" w:hanging="360"/>
      </w:pPr>
    </w:lvl>
    <w:lvl w:ilvl="8" w:tplc="0416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6" w15:restartNumberingAfterBreak="0">
    <w:nsid w:val="440B1ED7"/>
    <w:multiLevelType w:val="multilevel"/>
    <w:tmpl w:val="EEACF066"/>
    <w:lvl w:ilvl="0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304" w:hanging="360"/>
      </w:pPr>
    </w:lvl>
    <w:lvl w:ilvl="2" w:tentative="1">
      <w:start w:val="1"/>
      <w:numFmt w:val="lowerRoman"/>
      <w:lvlText w:val="%3."/>
      <w:lvlJc w:val="right"/>
      <w:pPr>
        <w:ind w:left="3024" w:hanging="180"/>
      </w:pPr>
    </w:lvl>
    <w:lvl w:ilvl="3" w:tentative="1">
      <w:start w:val="1"/>
      <w:numFmt w:val="decimal"/>
      <w:lvlText w:val="%4."/>
      <w:lvlJc w:val="left"/>
      <w:pPr>
        <w:ind w:left="3744" w:hanging="360"/>
      </w:pPr>
    </w:lvl>
    <w:lvl w:ilvl="4" w:tentative="1">
      <w:start w:val="1"/>
      <w:numFmt w:val="lowerLetter"/>
      <w:lvlText w:val="%5."/>
      <w:lvlJc w:val="left"/>
      <w:pPr>
        <w:ind w:left="4464" w:hanging="360"/>
      </w:pPr>
    </w:lvl>
    <w:lvl w:ilvl="5" w:tentative="1">
      <w:start w:val="1"/>
      <w:numFmt w:val="lowerRoman"/>
      <w:lvlText w:val="%6."/>
      <w:lvlJc w:val="right"/>
      <w:pPr>
        <w:ind w:left="5184" w:hanging="180"/>
      </w:pPr>
    </w:lvl>
    <w:lvl w:ilvl="6" w:tentative="1">
      <w:start w:val="1"/>
      <w:numFmt w:val="decimal"/>
      <w:lvlText w:val="%7."/>
      <w:lvlJc w:val="left"/>
      <w:pPr>
        <w:ind w:left="5904" w:hanging="360"/>
      </w:pPr>
    </w:lvl>
    <w:lvl w:ilvl="7" w:tentative="1">
      <w:start w:val="1"/>
      <w:numFmt w:val="lowerLetter"/>
      <w:lvlText w:val="%8."/>
      <w:lvlJc w:val="left"/>
      <w:pPr>
        <w:ind w:left="6624" w:hanging="360"/>
      </w:pPr>
    </w:lvl>
    <w:lvl w:ilvl="8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7" w15:restartNumberingAfterBreak="0">
    <w:nsid w:val="4CAF101D"/>
    <w:multiLevelType w:val="hybridMultilevel"/>
    <w:tmpl w:val="C264E872"/>
    <w:lvl w:ilvl="0" w:tplc="04160005">
      <w:start w:val="1"/>
      <w:numFmt w:val="bullet"/>
      <w:lvlText w:val=""/>
      <w:lvlJc w:val="left"/>
      <w:pPr>
        <w:ind w:left="99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8" w15:restartNumberingAfterBreak="0">
    <w:nsid w:val="4F525506"/>
    <w:multiLevelType w:val="hybridMultilevel"/>
    <w:tmpl w:val="40F67F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52D0D"/>
    <w:multiLevelType w:val="hybridMultilevel"/>
    <w:tmpl w:val="9AD8FF7A"/>
    <w:lvl w:ilvl="0" w:tplc="40E046AC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660421"/>
    <w:multiLevelType w:val="multilevel"/>
    <w:tmpl w:val="C8D4F2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72326EB"/>
    <w:multiLevelType w:val="hybridMultilevel"/>
    <w:tmpl w:val="7AA815AC"/>
    <w:lvl w:ilvl="0" w:tplc="04160017">
      <w:start w:val="1"/>
      <w:numFmt w:val="lowerLetter"/>
      <w:lvlText w:val="%1)"/>
      <w:lvlJc w:val="left"/>
      <w:pPr>
        <w:ind w:left="2357" w:hanging="360"/>
      </w:pPr>
    </w:lvl>
    <w:lvl w:ilvl="1" w:tplc="04090019" w:tentative="1">
      <w:start w:val="1"/>
      <w:numFmt w:val="lowerLetter"/>
      <w:lvlText w:val="%2."/>
      <w:lvlJc w:val="left"/>
      <w:pPr>
        <w:ind w:left="3077" w:hanging="360"/>
      </w:pPr>
    </w:lvl>
    <w:lvl w:ilvl="2" w:tplc="0409001B" w:tentative="1">
      <w:start w:val="1"/>
      <w:numFmt w:val="lowerRoman"/>
      <w:lvlText w:val="%3."/>
      <w:lvlJc w:val="right"/>
      <w:pPr>
        <w:ind w:left="3797" w:hanging="180"/>
      </w:pPr>
    </w:lvl>
    <w:lvl w:ilvl="3" w:tplc="0409000F" w:tentative="1">
      <w:start w:val="1"/>
      <w:numFmt w:val="decimal"/>
      <w:lvlText w:val="%4."/>
      <w:lvlJc w:val="left"/>
      <w:pPr>
        <w:ind w:left="4517" w:hanging="360"/>
      </w:pPr>
    </w:lvl>
    <w:lvl w:ilvl="4" w:tplc="04090019" w:tentative="1">
      <w:start w:val="1"/>
      <w:numFmt w:val="lowerLetter"/>
      <w:lvlText w:val="%5."/>
      <w:lvlJc w:val="left"/>
      <w:pPr>
        <w:ind w:left="5237" w:hanging="360"/>
      </w:pPr>
    </w:lvl>
    <w:lvl w:ilvl="5" w:tplc="0409001B" w:tentative="1">
      <w:start w:val="1"/>
      <w:numFmt w:val="lowerRoman"/>
      <w:lvlText w:val="%6."/>
      <w:lvlJc w:val="right"/>
      <w:pPr>
        <w:ind w:left="5957" w:hanging="180"/>
      </w:pPr>
    </w:lvl>
    <w:lvl w:ilvl="6" w:tplc="0409000F" w:tentative="1">
      <w:start w:val="1"/>
      <w:numFmt w:val="decimal"/>
      <w:lvlText w:val="%7."/>
      <w:lvlJc w:val="left"/>
      <w:pPr>
        <w:ind w:left="6677" w:hanging="360"/>
      </w:pPr>
    </w:lvl>
    <w:lvl w:ilvl="7" w:tplc="04090019" w:tentative="1">
      <w:start w:val="1"/>
      <w:numFmt w:val="lowerLetter"/>
      <w:lvlText w:val="%8."/>
      <w:lvlJc w:val="left"/>
      <w:pPr>
        <w:ind w:left="7397" w:hanging="360"/>
      </w:pPr>
    </w:lvl>
    <w:lvl w:ilvl="8" w:tplc="0409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2" w15:restartNumberingAfterBreak="0">
    <w:nsid w:val="66CD1966"/>
    <w:multiLevelType w:val="multilevel"/>
    <w:tmpl w:val="162286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4"/>
  </w:num>
  <w:num w:numId="9">
    <w:abstractNumId w:val="11"/>
  </w:num>
  <w:num w:numId="10">
    <w:abstractNumId w:val="9"/>
  </w:num>
  <w:num w:numId="11">
    <w:abstractNumId w:val="2"/>
  </w:num>
  <w:num w:numId="12">
    <w:abstractNumId w:val="5"/>
  </w:num>
  <w:num w:numId="13">
    <w:abstractNumId w:val="6"/>
  </w:num>
  <w:num w:numId="14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76"/>
    <w:rsid w:val="0000756A"/>
    <w:rsid w:val="00034DBC"/>
    <w:rsid w:val="00035475"/>
    <w:rsid w:val="00037F05"/>
    <w:rsid w:val="00042F73"/>
    <w:rsid w:val="0005327E"/>
    <w:rsid w:val="00071C84"/>
    <w:rsid w:val="00080ACC"/>
    <w:rsid w:val="000862AF"/>
    <w:rsid w:val="00090901"/>
    <w:rsid w:val="00093CF6"/>
    <w:rsid w:val="000B56E5"/>
    <w:rsid w:val="000B7086"/>
    <w:rsid w:val="000C0AD3"/>
    <w:rsid w:val="000C6A5A"/>
    <w:rsid w:val="00117097"/>
    <w:rsid w:val="00130A65"/>
    <w:rsid w:val="001357B9"/>
    <w:rsid w:val="001670D7"/>
    <w:rsid w:val="00170878"/>
    <w:rsid w:val="00183ED0"/>
    <w:rsid w:val="00194178"/>
    <w:rsid w:val="001B0D58"/>
    <w:rsid w:val="001C4711"/>
    <w:rsid w:val="001D0B80"/>
    <w:rsid w:val="001D126B"/>
    <w:rsid w:val="001D5364"/>
    <w:rsid w:val="001F0D4D"/>
    <w:rsid w:val="001F3DF9"/>
    <w:rsid w:val="00235BA2"/>
    <w:rsid w:val="00243A29"/>
    <w:rsid w:val="00244CA1"/>
    <w:rsid w:val="00255FA8"/>
    <w:rsid w:val="00264762"/>
    <w:rsid w:val="002676C2"/>
    <w:rsid w:val="00267974"/>
    <w:rsid w:val="0027071E"/>
    <w:rsid w:val="00272007"/>
    <w:rsid w:val="00292F87"/>
    <w:rsid w:val="002A14B3"/>
    <w:rsid w:val="002B4556"/>
    <w:rsid w:val="00305049"/>
    <w:rsid w:val="003122FC"/>
    <w:rsid w:val="0031438E"/>
    <w:rsid w:val="003174A8"/>
    <w:rsid w:val="003177CB"/>
    <w:rsid w:val="00355C38"/>
    <w:rsid w:val="00370CE3"/>
    <w:rsid w:val="00380D95"/>
    <w:rsid w:val="003E1865"/>
    <w:rsid w:val="003E18D5"/>
    <w:rsid w:val="003E7E7F"/>
    <w:rsid w:val="0041483F"/>
    <w:rsid w:val="00451F14"/>
    <w:rsid w:val="0046246A"/>
    <w:rsid w:val="00473864"/>
    <w:rsid w:val="00484A4B"/>
    <w:rsid w:val="00484E91"/>
    <w:rsid w:val="004A1BE3"/>
    <w:rsid w:val="004B41E7"/>
    <w:rsid w:val="004C2060"/>
    <w:rsid w:val="004C474A"/>
    <w:rsid w:val="00502A6A"/>
    <w:rsid w:val="00507F62"/>
    <w:rsid w:val="00521FC8"/>
    <w:rsid w:val="005267C2"/>
    <w:rsid w:val="00533048"/>
    <w:rsid w:val="00551FC8"/>
    <w:rsid w:val="00563267"/>
    <w:rsid w:val="00567443"/>
    <w:rsid w:val="00567994"/>
    <w:rsid w:val="00572692"/>
    <w:rsid w:val="00593256"/>
    <w:rsid w:val="005B6025"/>
    <w:rsid w:val="005E296D"/>
    <w:rsid w:val="005F1A77"/>
    <w:rsid w:val="006009D6"/>
    <w:rsid w:val="00622F37"/>
    <w:rsid w:val="00630F7E"/>
    <w:rsid w:val="00632D93"/>
    <w:rsid w:val="00654FE9"/>
    <w:rsid w:val="006564D3"/>
    <w:rsid w:val="00662D97"/>
    <w:rsid w:val="00677789"/>
    <w:rsid w:val="00691D57"/>
    <w:rsid w:val="006B0750"/>
    <w:rsid w:val="006B62A7"/>
    <w:rsid w:val="006B7BEE"/>
    <w:rsid w:val="006E2DF6"/>
    <w:rsid w:val="006E3861"/>
    <w:rsid w:val="006E4A1B"/>
    <w:rsid w:val="006F7853"/>
    <w:rsid w:val="007124B3"/>
    <w:rsid w:val="00712C75"/>
    <w:rsid w:val="007254CF"/>
    <w:rsid w:val="00743468"/>
    <w:rsid w:val="00772A7C"/>
    <w:rsid w:val="007836D0"/>
    <w:rsid w:val="007C3715"/>
    <w:rsid w:val="007D2767"/>
    <w:rsid w:val="008114AF"/>
    <w:rsid w:val="00821A62"/>
    <w:rsid w:val="00843D3F"/>
    <w:rsid w:val="0084759B"/>
    <w:rsid w:val="00851996"/>
    <w:rsid w:val="008541BF"/>
    <w:rsid w:val="0088677F"/>
    <w:rsid w:val="008A1411"/>
    <w:rsid w:val="008D2702"/>
    <w:rsid w:val="008F1071"/>
    <w:rsid w:val="00916F59"/>
    <w:rsid w:val="00922BB2"/>
    <w:rsid w:val="00946460"/>
    <w:rsid w:val="00951A09"/>
    <w:rsid w:val="00963B25"/>
    <w:rsid w:val="009730D3"/>
    <w:rsid w:val="00985AAB"/>
    <w:rsid w:val="009B0F6F"/>
    <w:rsid w:val="009B17BD"/>
    <w:rsid w:val="009B251C"/>
    <w:rsid w:val="009B5B74"/>
    <w:rsid w:val="009B7F76"/>
    <w:rsid w:val="009D3B41"/>
    <w:rsid w:val="009F6898"/>
    <w:rsid w:val="00A03763"/>
    <w:rsid w:val="00A05C41"/>
    <w:rsid w:val="00A1094A"/>
    <w:rsid w:val="00A22989"/>
    <w:rsid w:val="00A348CD"/>
    <w:rsid w:val="00A37EDD"/>
    <w:rsid w:val="00A44B4B"/>
    <w:rsid w:val="00A54198"/>
    <w:rsid w:val="00A966FB"/>
    <w:rsid w:val="00AA0437"/>
    <w:rsid w:val="00AC191D"/>
    <w:rsid w:val="00AC571B"/>
    <w:rsid w:val="00AE5634"/>
    <w:rsid w:val="00B1433F"/>
    <w:rsid w:val="00B20B58"/>
    <w:rsid w:val="00B22691"/>
    <w:rsid w:val="00B32BDD"/>
    <w:rsid w:val="00B33CE9"/>
    <w:rsid w:val="00B466FE"/>
    <w:rsid w:val="00B616DC"/>
    <w:rsid w:val="00B82535"/>
    <w:rsid w:val="00B91B6D"/>
    <w:rsid w:val="00B95FD3"/>
    <w:rsid w:val="00BA5A69"/>
    <w:rsid w:val="00BB34F7"/>
    <w:rsid w:val="00BB4BA9"/>
    <w:rsid w:val="00BE6808"/>
    <w:rsid w:val="00BF19A0"/>
    <w:rsid w:val="00C45B97"/>
    <w:rsid w:val="00C56D8F"/>
    <w:rsid w:val="00C64867"/>
    <w:rsid w:val="00C655D0"/>
    <w:rsid w:val="00C7010C"/>
    <w:rsid w:val="00C96D47"/>
    <w:rsid w:val="00CC34E5"/>
    <w:rsid w:val="00CC3566"/>
    <w:rsid w:val="00CC797A"/>
    <w:rsid w:val="00CD2415"/>
    <w:rsid w:val="00CE6C54"/>
    <w:rsid w:val="00CF10F5"/>
    <w:rsid w:val="00D039EB"/>
    <w:rsid w:val="00D203D9"/>
    <w:rsid w:val="00D25291"/>
    <w:rsid w:val="00D34A53"/>
    <w:rsid w:val="00D4367B"/>
    <w:rsid w:val="00D547C3"/>
    <w:rsid w:val="00D86A59"/>
    <w:rsid w:val="00D91476"/>
    <w:rsid w:val="00DA0EAE"/>
    <w:rsid w:val="00DD14A9"/>
    <w:rsid w:val="00DE4573"/>
    <w:rsid w:val="00DF215C"/>
    <w:rsid w:val="00E16002"/>
    <w:rsid w:val="00E325E5"/>
    <w:rsid w:val="00E4236F"/>
    <w:rsid w:val="00E74B75"/>
    <w:rsid w:val="00E92425"/>
    <w:rsid w:val="00E952B6"/>
    <w:rsid w:val="00E97D97"/>
    <w:rsid w:val="00EB760D"/>
    <w:rsid w:val="00EC67F7"/>
    <w:rsid w:val="00EE088A"/>
    <w:rsid w:val="00EE0DBC"/>
    <w:rsid w:val="00F113BE"/>
    <w:rsid w:val="00F114B3"/>
    <w:rsid w:val="00F34D6C"/>
    <w:rsid w:val="00F40719"/>
    <w:rsid w:val="00F43A06"/>
    <w:rsid w:val="00F47E29"/>
    <w:rsid w:val="00F73D05"/>
    <w:rsid w:val="00FF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F7FD48-37BE-422D-8A6C-31599A51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476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80D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E18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D270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2702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D270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D2702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80D9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80D95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unhideWhenUsed/>
    <w:rsid w:val="00380D95"/>
    <w:pPr>
      <w:spacing w:after="1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380D95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7C3715"/>
    <w:pPr>
      <w:ind w:left="720"/>
      <w:contextualSpacing/>
    </w:pPr>
  </w:style>
  <w:style w:type="table" w:styleId="Tabelacomgrade">
    <w:name w:val="Table Grid"/>
    <w:basedOn w:val="Tabelanormal"/>
    <w:uiPriority w:val="39"/>
    <w:rsid w:val="00A9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basedOn w:val="Fontepargpadro"/>
    <w:uiPriority w:val="99"/>
    <w:semiHidden/>
    <w:unhideWhenUsed/>
    <w:rsid w:val="00C7010C"/>
  </w:style>
  <w:style w:type="paragraph" w:styleId="Corpodetexto">
    <w:name w:val="Body Text"/>
    <w:basedOn w:val="Normal"/>
    <w:link w:val="CorpodetextoChar"/>
    <w:uiPriority w:val="99"/>
    <w:rsid w:val="00235BA2"/>
    <w:pPr>
      <w:jc w:val="both"/>
    </w:pPr>
    <w:rPr>
      <w:rFonts w:ascii="Arial" w:eastAsia="Times New Roman" w:hAnsi="Arial"/>
      <w:bCs/>
      <w:i/>
      <w:iCs/>
      <w:sz w:val="22"/>
    </w:rPr>
  </w:style>
  <w:style w:type="character" w:customStyle="1" w:styleId="CorpodetextoChar">
    <w:name w:val="Corpo de texto Char"/>
    <w:basedOn w:val="Fontepargpadro"/>
    <w:link w:val="Corpodetexto"/>
    <w:uiPriority w:val="99"/>
    <w:rsid w:val="00235BA2"/>
    <w:rPr>
      <w:rFonts w:ascii="Arial" w:eastAsia="Times New Roman" w:hAnsi="Arial" w:cs="Times New Roman"/>
      <w:bCs/>
      <w:i/>
      <w:iCs/>
      <w:szCs w:val="24"/>
      <w:lang w:eastAsia="pt-BR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235BA2"/>
    <w:pPr>
      <w:spacing w:after="100"/>
      <w:ind w:left="1920"/>
    </w:pPr>
  </w:style>
  <w:style w:type="paragraph" w:customStyle="1" w:styleId="Body">
    <w:name w:val="Body"/>
    <w:basedOn w:val="Normal"/>
    <w:link w:val="BodyChar"/>
    <w:qFormat/>
    <w:rsid w:val="00235BA2"/>
    <w:pPr>
      <w:spacing w:before="120" w:line="259" w:lineRule="auto"/>
      <w:jc w:val="both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BodyChar">
    <w:name w:val="Body Char"/>
    <w:basedOn w:val="Fontepargpadro"/>
    <w:link w:val="Body"/>
    <w:rsid w:val="00235BA2"/>
  </w:style>
  <w:style w:type="paragraph" w:styleId="Textodenotaderodap">
    <w:name w:val="footnote text"/>
    <w:basedOn w:val="Normal"/>
    <w:link w:val="TextodenotaderodapChar"/>
    <w:uiPriority w:val="99"/>
    <w:semiHidden/>
    <w:rsid w:val="003E1865"/>
    <w:pPr>
      <w:jc w:val="both"/>
    </w:pPr>
    <w:rPr>
      <w:rFonts w:ascii="Arial" w:eastAsia="Times New Roman" w:hAnsi="Arial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E1865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rodap">
    <w:name w:val="footnote reference"/>
    <w:uiPriority w:val="99"/>
    <w:rsid w:val="003E1865"/>
    <w:rPr>
      <w:vertAlign w:val="superscript"/>
    </w:rPr>
  </w:style>
  <w:style w:type="paragraph" w:customStyle="1" w:styleId="Default">
    <w:name w:val="Default"/>
    <w:rsid w:val="003E18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pt-BR"/>
    </w:rPr>
  </w:style>
  <w:style w:type="character" w:customStyle="1" w:styleId="Ttulo2Char">
    <w:name w:val="Título 2 Char"/>
    <w:basedOn w:val="Fontepargpadro"/>
    <w:link w:val="Ttulo2"/>
    <w:uiPriority w:val="9"/>
    <w:rsid w:val="003E186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186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1865"/>
    <w:rPr>
      <w:rFonts w:ascii="Segoe UI" w:hAnsi="Segoe UI" w:cs="Segoe UI"/>
      <w:sz w:val="18"/>
      <w:szCs w:val="18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4C2060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Sumrio3">
    <w:name w:val="toc 3"/>
    <w:basedOn w:val="Normal"/>
    <w:next w:val="Normal"/>
    <w:autoRedefine/>
    <w:uiPriority w:val="39"/>
    <w:unhideWhenUsed/>
    <w:rsid w:val="004C2060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Style1">
    <w:name w:val="Style1"/>
    <w:basedOn w:val="Ttulo1"/>
    <w:link w:val="Style1Char"/>
    <w:qFormat/>
    <w:rsid w:val="007254CF"/>
    <w:pPr>
      <w:numPr>
        <w:numId w:val="2"/>
      </w:numPr>
      <w:spacing w:after="240"/>
    </w:pPr>
    <w:rPr>
      <w:rFonts w:asciiTheme="minorHAnsi" w:eastAsia="Times New Roman" w:hAnsiTheme="minorHAnsi" w:cstheme="minorHAnsi"/>
      <w:color w:val="000000" w:themeColor="text1"/>
      <w:sz w:val="24"/>
      <w:szCs w:val="24"/>
    </w:rPr>
  </w:style>
  <w:style w:type="paragraph" w:customStyle="1" w:styleId="Style2">
    <w:name w:val="Style2"/>
    <w:basedOn w:val="Ttulo2"/>
    <w:link w:val="Style2Char"/>
    <w:qFormat/>
    <w:rsid w:val="007254CF"/>
    <w:pPr>
      <w:numPr>
        <w:ilvl w:val="1"/>
        <w:numId w:val="4"/>
      </w:numPr>
      <w:spacing w:after="240"/>
    </w:pPr>
    <w:rPr>
      <w:rFonts w:asciiTheme="minorHAnsi" w:eastAsia="Times New Roman" w:hAnsiTheme="minorHAnsi" w:cstheme="minorHAnsi"/>
      <w:color w:val="000000" w:themeColor="text1"/>
      <w:sz w:val="24"/>
      <w:szCs w:val="24"/>
    </w:rPr>
  </w:style>
  <w:style w:type="character" w:customStyle="1" w:styleId="Style1Char">
    <w:name w:val="Style1 Char"/>
    <w:basedOn w:val="Ttulo1Char"/>
    <w:link w:val="Style1"/>
    <w:rsid w:val="007254CF"/>
    <w:rPr>
      <w:rFonts w:asciiTheme="majorHAnsi" w:eastAsia="Times New Roman" w:hAnsiTheme="majorHAnsi" w:cstheme="minorHAnsi"/>
      <w:color w:val="000000" w:themeColor="text1"/>
      <w:sz w:val="24"/>
      <w:szCs w:val="24"/>
      <w:lang w:eastAsia="pt-BR"/>
    </w:rPr>
  </w:style>
  <w:style w:type="paragraph" w:customStyle="1" w:styleId="Style3">
    <w:name w:val="Style3"/>
    <w:basedOn w:val="PargrafodaLista"/>
    <w:link w:val="Style3Char"/>
    <w:qFormat/>
    <w:rsid w:val="00255FA8"/>
    <w:pPr>
      <w:numPr>
        <w:ilvl w:val="2"/>
        <w:numId w:val="5"/>
      </w:numPr>
      <w:spacing w:before="240" w:after="240" w:line="360" w:lineRule="auto"/>
      <w:jc w:val="both"/>
    </w:pPr>
    <w:rPr>
      <w:rFonts w:asciiTheme="minorHAnsi" w:hAnsiTheme="minorHAnsi" w:cstheme="minorHAnsi"/>
    </w:rPr>
  </w:style>
  <w:style w:type="character" w:customStyle="1" w:styleId="Style2Char">
    <w:name w:val="Style2 Char"/>
    <w:basedOn w:val="Ttulo2Char"/>
    <w:link w:val="Style2"/>
    <w:rsid w:val="007254CF"/>
    <w:rPr>
      <w:rFonts w:asciiTheme="majorHAnsi" w:eastAsia="Times New Roman" w:hAnsiTheme="majorHAnsi" w:cstheme="minorHAnsi"/>
      <w:color w:val="000000" w:themeColor="text1"/>
      <w:sz w:val="24"/>
      <w:szCs w:val="24"/>
      <w:lang w:eastAsia="pt-BR"/>
    </w:rPr>
  </w:style>
  <w:style w:type="paragraph" w:styleId="Legenda">
    <w:name w:val="caption"/>
    <w:basedOn w:val="Normal"/>
    <w:next w:val="Normal"/>
    <w:uiPriority w:val="35"/>
    <w:qFormat/>
    <w:rsid w:val="00502A6A"/>
    <w:pPr>
      <w:spacing w:before="120" w:after="120"/>
      <w:jc w:val="both"/>
    </w:pPr>
    <w:rPr>
      <w:rFonts w:ascii="Arial" w:eastAsia="Times New Roman" w:hAnsi="Arial"/>
      <w:b/>
      <w:bCs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55FA8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Style3Char">
    <w:name w:val="Style3 Char"/>
    <w:basedOn w:val="PargrafodaListaChar"/>
    <w:link w:val="Style3"/>
    <w:rsid w:val="00255FA8"/>
    <w:rPr>
      <w:rFonts w:ascii="Times New Roman" w:hAnsi="Times New Roman" w:cstheme="minorHAnsi"/>
      <w:sz w:val="24"/>
      <w:szCs w:val="24"/>
      <w:lang w:eastAsia="pt-BR"/>
    </w:rPr>
  </w:style>
  <w:style w:type="paragraph" w:customStyle="1" w:styleId="Blockident5">
    <w:name w:val="Block ident 5"/>
    <w:basedOn w:val="Normal"/>
    <w:link w:val="Blockident5Char"/>
    <w:rsid w:val="002676C2"/>
    <w:pPr>
      <w:tabs>
        <w:tab w:val="left" w:pos="1701"/>
        <w:tab w:val="left" w:pos="2552"/>
      </w:tabs>
      <w:spacing w:before="40"/>
      <w:ind w:left="1701" w:right="142" w:hanging="1134"/>
      <w:jc w:val="both"/>
    </w:pPr>
    <w:rPr>
      <w:rFonts w:ascii="Arial" w:eastAsia="Batang" w:hAnsi="Arial"/>
      <w:sz w:val="22"/>
      <w:szCs w:val="22"/>
      <w:lang w:val="en-US"/>
    </w:rPr>
  </w:style>
  <w:style w:type="character" w:customStyle="1" w:styleId="Blockident5Char">
    <w:name w:val="Block ident 5 Char"/>
    <w:link w:val="Blockident5"/>
    <w:rsid w:val="002676C2"/>
    <w:rPr>
      <w:rFonts w:ascii="Arial" w:eastAsia="Batang" w:hAnsi="Arial" w:cs="Times New Roman"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CBC32-2EA4-4D2E-BDDA-AB1660475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3343</Words>
  <Characters>18058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Carlos Eduardo Medeiros de Carvalho</cp:lastModifiedBy>
  <cp:revision>8</cp:revision>
  <cp:lastPrinted>2017-06-23T18:14:00Z</cp:lastPrinted>
  <dcterms:created xsi:type="dcterms:W3CDTF">2017-08-16T18:50:00Z</dcterms:created>
  <dcterms:modified xsi:type="dcterms:W3CDTF">2018-02-07T16:18:00Z</dcterms:modified>
</cp:coreProperties>
</file>