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BB2" w:rsidRPr="00C2671E" w:rsidRDefault="00922BB2" w:rsidP="00C2671E">
      <w:pPr>
        <w:rPr>
          <w:rFonts w:ascii="Calibri" w:hAnsi="Calibri"/>
          <w:b/>
          <w:sz w:val="22"/>
          <w:szCs w:val="22"/>
          <w:lang w:eastAsia="en-US"/>
        </w:rPr>
      </w:pPr>
      <w:r w:rsidRPr="00C2671E">
        <w:rPr>
          <w:rFonts w:ascii="Calibri" w:hAnsi="Calibri"/>
          <w:b/>
          <w:sz w:val="22"/>
          <w:szCs w:val="22"/>
          <w:lang w:eastAsia="en-US"/>
        </w:rPr>
        <w:t>SUMÁRIO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C2060" w:rsidRDefault="004C2060" w:rsidP="00C2671E">
          <w:pPr>
            <w:pStyle w:val="CabealhodoSumrio"/>
            <w:spacing w:before="0"/>
          </w:pPr>
        </w:p>
        <w:p w:rsidR="008A6F1C" w:rsidRPr="008A6F1C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8A6F1C">
            <w:fldChar w:fldCharType="begin"/>
          </w:r>
          <w:r w:rsidRPr="008A6F1C">
            <w:instrText xml:space="preserve"> TOC \o "1-3" \h \z \u </w:instrText>
          </w:r>
          <w:r w:rsidRPr="008A6F1C">
            <w:fldChar w:fldCharType="separate"/>
          </w:r>
          <w:hyperlink w:anchor="_Toc492662884" w:history="1">
            <w:r w:rsidR="008A6F1C" w:rsidRPr="008A6F1C">
              <w:rPr>
                <w:rStyle w:val="Hyperlink"/>
                <w:noProof/>
              </w:rPr>
              <w:t>1.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Objetivo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_Toc492662884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- 2 -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85" w:history="1">
            <w:r w:rsidR="008A6F1C" w:rsidRPr="008A6F1C">
              <w:rPr>
                <w:rStyle w:val="Hyperlink"/>
                <w:noProof/>
              </w:rPr>
              <w:t>2.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Aplicação e Abrangência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_Toc492662885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- 2 -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86" w:history="1">
            <w:r w:rsidR="008A6F1C" w:rsidRPr="008A6F1C">
              <w:rPr>
                <w:rStyle w:val="Hyperlink"/>
                <w:noProof/>
              </w:rPr>
              <w:t>3.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Documentos de Referência e Complementares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_Toc492662886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- 2 -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87" w:history="1">
            <w:r w:rsidR="008A6F1C" w:rsidRPr="008A6F1C">
              <w:rPr>
                <w:rStyle w:val="Hyperlink"/>
                <w:noProof/>
              </w:rPr>
              <w:t>4.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Definições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_Toc492662887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- 2 -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88" w:history="1">
            <w:r w:rsidR="008A6F1C" w:rsidRPr="008A6F1C">
              <w:rPr>
                <w:rStyle w:val="Hyperlink"/>
                <w:noProof/>
              </w:rPr>
              <w:t>5.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Autoridade e Competências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_Toc492662888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- 3 -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89" w:history="1">
            <w:r w:rsidR="008A6F1C" w:rsidRPr="008A6F1C">
              <w:rPr>
                <w:rStyle w:val="Hyperlink"/>
                <w:noProof/>
              </w:rPr>
              <w:t>6.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Descrição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_Toc492662889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- 4 -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0" w:history="1">
            <w:r w:rsidR="008A6F1C" w:rsidRPr="008A6F1C">
              <w:rPr>
                <w:rStyle w:val="Hyperlink"/>
                <w:noProof/>
              </w:rPr>
              <w:t>6.1.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Descrição Geral do Processo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_Toc492662890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- 4 -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1" w:history="1">
            <w:r w:rsidR="008A6F1C" w:rsidRPr="008A6F1C">
              <w:rPr>
                <w:rStyle w:val="Hyperlink"/>
                <w:noProof/>
              </w:rPr>
              <w:t>6.2.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Validações e Cálculos do SGPP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_Toc492662891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- 4 -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2" w:history="1">
            <w:r w:rsidR="008A6F1C" w:rsidRPr="008A6F1C">
              <w:rPr>
                <w:rStyle w:val="Hyperlink"/>
                <w:noProof/>
              </w:rPr>
              <w:t>6.3.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Procedimento de Gestão da Conta Custo em Óleo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_Toc492662892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- 4 -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3" w:history="1">
            <w:r w:rsidR="008A6F1C" w:rsidRPr="008A6F1C">
              <w:rPr>
                <w:rStyle w:val="Hyperlink"/>
                <w:noProof/>
              </w:rPr>
              <w:t>6.4.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Monitoramento do Processo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_Toc492662893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- 5 -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4" w:history="1">
            <w:r w:rsidR="008A6F1C" w:rsidRPr="008A6F1C">
              <w:rPr>
                <w:rStyle w:val="Hyperlink"/>
                <w:noProof/>
              </w:rPr>
              <w:t>6.5.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Prazos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_Toc492662894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- 6 -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95" w:history="1">
            <w:r w:rsidR="008A6F1C" w:rsidRPr="008A6F1C">
              <w:rPr>
                <w:rStyle w:val="Hyperlink"/>
                <w:noProof/>
              </w:rPr>
              <w:t>7.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Índice de Revisões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_Toc492662895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- 7 -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96" w:history="1">
            <w:r w:rsidR="008A6F1C" w:rsidRPr="008A6F1C">
              <w:rPr>
                <w:rStyle w:val="Hyperlink"/>
                <w:noProof/>
              </w:rPr>
              <w:t>8.</w:t>
            </w:r>
            <w:r w:rsidR="008A6F1C" w:rsidRPr="008A6F1C">
              <w:rPr>
                <w:rFonts w:eastAsiaTheme="minorEastAsia"/>
                <w:noProof/>
                <w:lang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Anexos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_Toc492662896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- 8 -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7" w:history="1">
            <w:r w:rsidR="008A6F1C" w:rsidRPr="008A6F1C">
              <w:rPr>
                <w:rStyle w:val="Hyperlink"/>
                <w:noProof/>
              </w:rPr>
              <w:t>8.1.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Anexo I - Padrão de Processo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_Toc492662897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- 8 -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8" w:history="1">
            <w:r w:rsidR="008A6F1C" w:rsidRPr="008A6F1C">
              <w:rPr>
                <w:rStyle w:val="Hyperlink"/>
                <w:noProof/>
              </w:rPr>
              <w:t>8.2.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Anexo II - Matriz de Papéis e Responsabilidades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_Toc492662898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- 9 -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99" w:history="1">
            <w:r w:rsidR="008A6F1C" w:rsidRPr="008A6F1C">
              <w:rPr>
                <w:rStyle w:val="Hyperlink"/>
                <w:noProof/>
              </w:rPr>
              <w:t>8.3.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Anexo III - Indicadores de Performance do Processo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_Toc492662899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- 10 -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8A6F1C" w:rsidRPr="008A6F1C" w:rsidRDefault="007E31BF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900" w:history="1">
            <w:r w:rsidR="008A6F1C" w:rsidRPr="008A6F1C">
              <w:rPr>
                <w:rStyle w:val="Hyperlink"/>
                <w:noProof/>
              </w:rPr>
              <w:t>8.4.</w:t>
            </w:r>
            <w:r w:rsidR="008A6F1C" w:rsidRPr="008A6F1C">
              <w:rPr>
                <w:rFonts w:cstheme="minorBidi"/>
                <w:noProof/>
                <w:lang w:val="pt-BR" w:eastAsia="pt-BR"/>
              </w:rPr>
              <w:tab/>
            </w:r>
            <w:r w:rsidR="008A6F1C" w:rsidRPr="008A6F1C">
              <w:rPr>
                <w:rStyle w:val="Hyperlink"/>
                <w:noProof/>
              </w:rPr>
              <w:t>Anexo IV - Mapa de Interface dos Processos</w:t>
            </w:r>
            <w:r w:rsidR="008A6F1C" w:rsidRPr="008A6F1C">
              <w:rPr>
                <w:noProof/>
                <w:webHidden/>
              </w:rPr>
              <w:tab/>
            </w:r>
            <w:r w:rsidR="008A6F1C" w:rsidRPr="008A6F1C">
              <w:rPr>
                <w:noProof/>
                <w:webHidden/>
              </w:rPr>
              <w:fldChar w:fldCharType="begin"/>
            </w:r>
            <w:r w:rsidR="008A6F1C" w:rsidRPr="008A6F1C">
              <w:rPr>
                <w:noProof/>
                <w:webHidden/>
              </w:rPr>
              <w:instrText xml:space="preserve"> PAGEREF _Toc492662900 \h </w:instrText>
            </w:r>
            <w:r w:rsidR="008A6F1C" w:rsidRPr="008A6F1C">
              <w:rPr>
                <w:noProof/>
                <w:webHidden/>
              </w:rPr>
            </w:r>
            <w:r w:rsidR="008A6F1C" w:rsidRPr="008A6F1C">
              <w:rPr>
                <w:noProof/>
                <w:webHidden/>
              </w:rPr>
              <w:fldChar w:fldCharType="separate"/>
            </w:r>
            <w:r w:rsidR="008A6F1C" w:rsidRPr="008A6F1C">
              <w:rPr>
                <w:noProof/>
                <w:webHidden/>
              </w:rPr>
              <w:t>- 11 -</w:t>
            </w:r>
            <w:r w:rsidR="008A6F1C" w:rsidRPr="008A6F1C">
              <w:rPr>
                <w:noProof/>
                <w:webHidden/>
              </w:rPr>
              <w:fldChar w:fldCharType="end"/>
            </w:r>
          </w:hyperlink>
        </w:p>
        <w:p w:rsidR="004C2060" w:rsidRPr="008A6F1C" w:rsidRDefault="004C2060" w:rsidP="00042F73">
          <w:pPr>
            <w:jc w:val="center"/>
            <w:rPr>
              <w:bCs/>
              <w:noProof/>
            </w:rPr>
          </w:pPr>
          <w:r w:rsidRPr="008A6F1C">
            <w:rPr>
              <w:bCs/>
              <w:noProof/>
            </w:rPr>
            <w:fldChar w:fldCharType="end"/>
          </w:r>
        </w:p>
      </w:sdtContent>
    </w:sdt>
    <w:p w:rsidR="00235BA2" w:rsidRPr="00C2671E" w:rsidRDefault="00235BA2" w:rsidP="004C2060">
      <w:r w:rsidRPr="00C2671E">
        <w:rPr>
          <w:rFonts w:ascii="Calibri" w:hAnsi="Calibri"/>
          <w:color w:val="FF0000"/>
          <w:sz w:val="36"/>
          <w:szCs w:val="36"/>
          <w:highlight w:val="yellow"/>
          <w:lang w:eastAsia="en-US"/>
        </w:rPr>
        <w:br w:type="page"/>
      </w:r>
    </w:p>
    <w:p w:rsidR="00235BA2" w:rsidRPr="00C2671E" w:rsidRDefault="00235BA2" w:rsidP="007254CF">
      <w:pPr>
        <w:pStyle w:val="Style1"/>
        <w:rPr>
          <w:b/>
          <w:sz w:val="22"/>
          <w:szCs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662884"/>
      <w:r w:rsidRPr="00C2671E">
        <w:rPr>
          <w:b/>
          <w:sz w:val="22"/>
          <w:szCs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:rsidR="00EE0DBC" w:rsidRPr="00C2671E" w:rsidRDefault="00EE0DBC" w:rsidP="00235BA2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O objetivo geral deste procedimento é detalhar e padronizar as atividades, entradas, saídas e interfaces do processo de Gestão da Conta Custo em Óleo relativo aos Contratos de Partilha da Produção (CPPs) e Acordos de Individualização da Produção (AIPs) de forma que o processo seja executado pelas áreas técnicas seguindo as métricas estabelecidas nesses contratos.</w:t>
      </w:r>
    </w:p>
    <w:p w:rsidR="00235BA2" w:rsidRPr="00C2671E" w:rsidRDefault="00235BA2" w:rsidP="007254CF">
      <w:pPr>
        <w:pStyle w:val="Style1"/>
        <w:rPr>
          <w:b/>
          <w:sz w:val="22"/>
          <w:szCs w:val="22"/>
        </w:rPr>
      </w:pPr>
      <w:bookmarkStart w:id="5" w:name="_Toc492662885"/>
      <w:r w:rsidRPr="00C2671E">
        <w:rPr>
          <w:b/>
          <w:sz w:val="22"/>
          <w:szCs w:val="22"/>
        </w:rPr>
        <w:t xml:space="preserve">Aplicação e </w:t>
      </w:r>
      <w:r w:rsidR="004C2060" w:rsidRPr="00C2671E">
        <w:rPr>
          <w:b/>
          <w:sz w:val="22"/>
          <w:szCs w:val="22"/>
        </w:rPr>
        <w:t>Abrangência</w:t>
      </w:r>
      <w:bookmarkEnd w:id="5"/>
    </w:p>
    <w:p w:rsidR="00EE0DBC" w:rsidRPr="00C2671E" w:rsidRDefault="00EE0DBC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Este procedimento se aplica à gestão da conta custo em óleo provenientes de todos os CPPs e AIPs. A Gestão da Conta Custo em Óleo utiliza como insumo os processos de Reconhecimento e Recuperação de Custos (CPPs) e visa cumprir a obrigação legal e contratual da </w:t>
      </w:r>
      <w:r w:rsidR="00AF64B1"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prevista nas leis, decretos, CPPs e AIPs. O sistema de suporte a esse processo será o </w:t>
      </w:r>
      <w:r w:rsidR="00E52D91" w:rsidRPr="00E52D91">
        <w:rPr>
          <w:rFonts w:asciiTheme="minorHAnsi" w:hAnsiTheme="minorHAnsi" w:cstheme="minorHAnsi"/>
          <w:bCs w:val="0"/>
          <w:i w:val="0"/>
          <w:iCs w:val="0"/>
          <w:szCs w:val="22"/>
        </w:rPr>
        <w:t>Sistema de Gestão de Gastos de Partilha de Produção</w:t>
      </w: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(</w:t>
      </w:r>
      <w:r w:rsidR="00AF64B1"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:rsidR="0027071E" w:rsidRPr="00C2671E" w:rsidRDefault="0027071E" w:rsidP="007254CF">
      <w:pPr>
        <w:pStyle w:val="Style1"/>
        <w:rPr>
          <w:b/>
          <w:sz w:val="22"/>
          <w:szCs w:val="22"/>
        </w:rPr>
      </w:pPr>
      <w:bookmarkStart w:id="6" w:name="_Toc492662886"/>
      <w:r w:rsidRPr="00C2671E">
        <w:rPr>
          <w:b/>
          <w:sz w:val="22"/>
          <w:szCs w:val="22"/>
        </w:rPr>
        <w:t>Documentos de Referência e Complementares</w:t>
      </w:r>
      <w:bookmarkEnd w:id="6"/>
    </w:p>
    <w:p w:rsidR="0027071E" w:rsidRPr="00C2671E" w:rsidRDefault="00F3537A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Procedimento de Governança da Pré-Sal Petróleo para Contratos de Partilha da Produção (PG.DGC.001)</w:t>
      </w:r>
    </w:p>
    <w:p w:rsidR="0027071E" w:rsidRPr="00C2671E" w:rsidRDefault="00270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Sugestão de Modelo de Governança proposto pela KPMG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Política de Comercialização do Petróleo e do Gás Natural da União (Resolução CNPE)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Contratos de Partilha de Produção em vigor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i/>
          <w:lang w:eastAsia="pt-BR"/>
        </w:rPr>
        <w:t xml:space="preserve">Lifting </w:t>
      </w:r>
      <w:proofErr w:type="spellStart"/>
      <w:r w:rsidRPr="00C2671E">
        <w:rPr>
          <w:rFonts w:eastAsia="Times New Roman" w:cstheme="minorHAnsi"/>
          <w:i/>
          <w:lang w:eastAsia="pt-BR"/>
        </w:rPr>
        <w:t>Agreement</w:t>
      </w:r>
      <w:proofErr w:type="spellEnd"/>
      <w:r w:rsidRPr="00C2671E">
        <w:rPr>
          <w:rFonts w:eastAsia="Times New Roman" w:cstheme="minorHAnsi"/>
          <w:lang w:eastAsia="pt-BR"/>
        </w:rPr>
        <w:t xml:space="preserve"> definido para cada FPSO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Política dos Acordos de Individualização da Produção do Petróleo e do Gás Natural da União (Resolução CNPE)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Acordos de Individualização da Produção (assinados) e seus Anexos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Lei nº 12.351, de 22 de dezembro de 2010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Decreto nº 8.063, de 01 de agosto de 2013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Decreto nº 2.705/1998</w:t>
      </w:r>
    </w:p>
    <w:p w:rsidR="00C2671E" w:rsidRPr="00C2671E" w:rsidRDefault="00C2671E" w:rsidP="00C2671E">
      <w:pPr>
        <w:pStyle w:val="Body"/>
        <w:numPr>
          <w:ilvl w:val="0"/>
          <w:numId w:val="1"/>
        </w:numPr>
        <w:spacing w:line="240" w:lineRule="auto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Lei nº 9.478/1997</w:t>
      </w:r>
    </w:p>
    <w:p w:rsidR="0027071E" w:rsidRPr="00C2671E" w:rsidRDefault="0027071E" w:rsidP="007254CF">
      <w:pPr>
        <w:pStyle w:val="Style1"/>
        <w:rPr>
          <w:b/>
          <w:sz w:val="22"/>
          <w:szCs w:val="22"/>
        </w:rPr>
      </w:pPr>
      <w:bookmarkStart w:id="7" w:name="_Toc492662887"/>
      <w:r w:rsidRPr="00C2671E">
        <w:rPr>
          <w:b/>
          <w:sz w:val="22"/>
          <w:szCs w:val="22"/>
        </w:rPr>
        <w:t>Definições</w:t>
      </w:r>
      <w:bookmarkEnd w:id="7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C2671E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:rsidR="0027071E" w:rsidRPr="00C2671E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:rsidR="0027071E" w:rsidRPr="00C2671E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Descrição</w:t>
            </w:r>
          </w:p>
        </w:tc>
      </w:tr>
      <w:tr w:rsidR="00EE0DBC" w:rsidRPr="00C2671E" w:rsidTr="00896E95">
        <w:trPr>
          <w:trHeight w:val="57"/>
        </w:trPr>
        <w:tc>
          <w:tcPr>
            <w:tcW w:w="1444" w:type="dxa"/>
            <w:vAlign w:val="center"/>
          </w:tcPr>
          <w:p w:rsidR="00EE0DBC" w:rsidRPr="00C2671E" w:rsidRDefault="00EB760D" w:rsidP="00EE0D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AEF</w:t>
            </w:r>
          </w:p>
        </w:tc>
        <w:tc>
          <w:tcPr>
            <w:tcW w:w="7921" w:type="dxa"/>
            <w:vAlign w:val="center"/>
          </w:tcPr>
          <w:p w:rsidR="00EE0DBC" w:rsidRPr="00C2671E" w:rsidRDefault="00EE0DBC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B760D" w:rsidRPr="00C2671E">
              <w:rPr>
                <w:rFonts w:asciiTheme="minorHAnsi" w:hAnsiTheme="minorHAnsi" w:cstheme="minorHAnsi"/>
                <w:sz w:val="22"/>
                <w:szCs w:val="22"/>
              </w:rPr>
              <w:t>ssessoria Especial de Fiscalização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AIP</w:t>
            </w:r>
          </w:p>
        </w:tc>
        <w:tc>
          <w:tcPr>
            <w:tcW w:w="7921" w:type="dxa"/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Acordo de Individualização da Produção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ANP</w:t>
            </w:r>
          </w:p>
        </w:tc>
        <w:tc>
          <w:tcPr>
            <w:tcW w:w="7921" w:type="dxa"/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Agência Nacional do Petróleo, Gás Natural e Biocombustíveis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CCO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Conta Custo em Óleo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CPP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Contrato de Partilha da Produção</w:t>
            </w:r>
          </w:p>
        </w:tc>
      </w:tr>
      <w:tr w:rsidR="002E771E" w:rsidRPr="00C2671E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E771E" w:rsidRPr="00C2671E" w:rsidRDefault="002E771E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DGC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E771E" w:rsidRPr="00C2671E" w:rsidRDefault="002E771E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Diretoria de Gestão de Contratos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GE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EB760D" w:rsidRPr="00C2671E" w:rsidRDefault="00EB760D" w:rsidP="00CA01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Ger</w:t>
            </w:r>
            <w:r w:rsidR="00CA0128" w:rsidRPr="00C2671E">
              <w:rPr>
                <w:rFonts w:asciiTheme="minorHAnsi" w:hAnsiTheme="minorHAnsi" w:cstheme="minorHAnsi"/>
                <w:sz w:val="22"/>
                <w:szCs w:val="22"/>
              </w:rPr>
              <w:t>ê</w:t>
            </w: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ncia Executiva</w:t>
            </w:r>
          </w:p>
        </w:tc>
      </w:tr>
      <w:tr w:rsidR="00EB760D" w:rsidRPr="00C2671E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EB760D" w:rsidRPr="00C2671E" w:rsidRDefault="00AF64B1" w:rsidP="00EB76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SGPP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EB760D" w:rsidRPr="00C2671E" w:rsidRDefault="00C2671E" w:rsidP="00CA01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71E">
              <w:rPr>
                <w:rFonts w:asciiTheme="minorHAnsi" w:hAnsiTheme="minorHAnsi" w:cstheme="minorHAnsi"/>
                <w:sz w:val="22"/>
                <w:szCs w:val="22"/>
              </w:rPr>
              <w:t>Sistema de Gestão de Gastos de Partilha de Produção</w:t>
            </w:r>
          </w:p>
        </w:tc>
      </w:tr>
    </w:tbl>
    <w:p w:rsidR="0027071E" w:rsidRPr="00C2671E" w:rsidRDefault="0027071E" w:rsidP="0027071E">
      <w:pPr>
        <w:rPr>
          <w:sz w:val="22"/>
          <w:szCs w:val="22"/>
        </w:rPr>
      </w:pPr>
    </w:p>
    <w:p w:rsidR="00EE0DBC" w:rsidRPr="00C2671E" w:rsidRDefault="00EE0DBC" w:rsidP="008A2264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AIP: Acordo de Individualização da Produção, acordo celebrado entre os detentores de direitos de Exploração e Produção, após a Declaração de Comercialidade, para o Desenvolvimento e Produção unificados de Jazidas que se estendam além da Área do Contrato, conforme previsto na Lei n.º 12.351/2010 e na Legislação Aplicável.</w:t>
      </w:r>
    </w:p>
    <w:p w:rsidR="00255FA8" w:rsidRPr="00C2671E" w:rsidRDefault="0027071E" w:rsidP="008A2264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CPP: Contrato de Partilha de Produção, onde a propriedade do recurso permanece sob o poder do Estado e a empresa operadora é contratada para explorar e produzir petróleo e gás natural, tendo como retorno uma parcela da produção.</w:t>
      </w:r>
    </w:p>
    <w:p w:rsidR="0027071E" w:rsidRPr="00C2671E" w:rsidRDefault="00AF64B1" w:rsidP="000C6A5A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SGPP</w:t>
      </w:r>
      <w:r w:rsidR="0027071E" w:rsidRPr="00C2671E">
        <w:rPr>
          <w:rFonts w:eastAsia="Times New Roman" w:cstheme="minorHAnsi"/>
          <w:lang w:eastAsia="pt-BR"/>
        </w:rPr>
        <w:t xml:space="preserve">: </w:t>
      </w:r>
      <w:r w:rsidR="00E52D91" w:rsidRPr="00C2671E">
        <w:rPr>
          <w:rFonts w:cstheme="minorHAnsi"/>
        </w:rPr>
        <w:t>Sistema de Gestão de Gastos de Partilha de Produção</w:t>
      </w:r>
      <w:r w:rsidR="0027071E" w:rsidRPr="00C2671E">
        <w:rPr>
          <w:rFonts w:eastAsia="Times New Roman" w:cstheme="minorHAnsi"/>
          <w:lang w:eastAsia="pt-BR"/>
        </w:rPr>
        <w:t xml:space="preserve"> planejado para atender ao gerenciamento dos contratos de partilha e de comercialização de petróleo e gás natural.</w:t>
      </w:r>
    </w:p>
    <w:p w:rsidR="007254CF" w:rsidRPr="00C2671E" w:rsidRDefault="00235BA2" w:rsidP="007254CF">
      <w:pPr>
        <w:pStyle w:val="Style1"/>
        <w:rPr>
          <w:b/>
          <w:sz w:val="22"/>
          <w:szCs w:val="22"/>
        </w:rPr>
      </w:pPr>
      <w:bookmarkStart w:id="8" w:name="_Toc492662888"/>
      <w:r w:rsidRPr="00C2671E">
        <w:rPr>
          <w:b/>
          <w:sz w:val="22"/>
          <w:szCs w:val="22"/>
        </w:rPr>
        <w:t>A</w:t>
      </w:r>
      <w:r w:rsidR="0027071E" w:rsidRPr="00C2671E">
        <w:rPr>
          <w:b/>
          <w:sz w:val="22"/>
          <w:szCs w:val="22"/>
        </w:rPr>
        <w:t>utoridade e Competência</w:t>
      </w:r>
      <w:r w:rsidR="00E52D91">
        <w:rPr>
          <w:b/>
          <w:sz w:val="22"/>
          <w:szCs w:val="22"/>
        </w:rPr>
        <w:t>s</w:t>
      </w:r>
      <w:bookmarkEnd w:id="8"/>
    </w:p>
    <w:p w:rsidR="007254CF" w:rsidRPr="00E52D91" w:rsidRDefault="0027071E" w:rsidP="00E52D91">
      <w:pPr>
        <w:pStyle w:val="Body"/>
        <w:numPr>
          <w:ilvl w:val="1"/>
          <w:numId w:val="2"/>
        </w:numPr>
        <w:rPr>
          <w:b/>
        </w:rPr>
      </w:pPr>
      <w:r w:rsidRPr="00E52D91">
        <w:rPr>
          <w:b/>
        </w:rPr>
        <w:t>A</w:t>
      </w:r>
      <w:r w:rsidR="00235BA2" w:rsidRPr="00E52D91">
        <w:rPr>
          <w:b/>
        </w:rPr>
        <w:t>provação e Atualização</w:t>
      </w:r>
    </w:p>
    <w:p w:rsidR="00235BA2" w:rsidRPr="00C2671E" w:rsidRDefault="003E18D5" w:rsidP="00E52D91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A versão inicial e as revisões desse documento devem ser aprovadas conforme a Estrutura de Comitês de Governança prevista no Modelo de Governança dos Processos. As revisões no procedimento e no fluxograma (Padrão de Processo - Anexo I) do processo de Gestão da Conta Custo em Óleo deverão ser realizadas simultaneamente e de acordo com o Ciclo de Revisão dos Processos, visando incorporar melhorias e novos sistemas, atender às políticas, diretrizes e padrões da empresa, deliberações da Diretoria, além de leis, decretos e resoluções da ANP.</w:t>
      </w:r>
    </w:p>
    <w:p w:rsidR="00235BA2" w:rsidRPr="00E52D91" w:rsidRDefault="00235BA2" w:rsidP="00E52D91">
      <w:pPr>
        <w:pStyle w:val="Body"/>
        <w:numPr>
          <w:ilvl w:val="1"/>
          <w:numId w:val="2"/>
        </w:numPr>
        <w:rPr>
          <w:b/>
        </w:rPr>
      </w:pPr>
      <w:r w:rsidRPr="00E52D91">
        <w:rPr>
          <w:b/>
        </w:rPr>
        <w:t>Responsáveis pela Execução</w:t>
      </w:r>
    </w:p>
    <w:p w:rsidR="003E18D5" w:rsidRPr="00C2671E" w:rsidRDefault="003E18D5" w:rsidP="00E52D91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C2671E">
        <w:rPr>
          <w:rFonts w:asciiTheme="minorHAnsi" w:hAnsiTheme="minorHAnsi" w:cstheme="minorHAnsi"/>
          <w:bCs w:val="0"/>
          <w:i w:val="0"/>
          <w:iCs w:val="0"/>
          <w:szCs w:val="22"/>
        </w:rPr>
        <w:t>Colaboradores nas áreas técnicas e administrativas indicados para analisar as informações recebidas, identificar não conformidades e propor ações corretivas, de acordo com as atribuições, papéis e responsabilidades dos processos referentes a esse procedimento, detalhados no Anexo II deste documento.</w:t>
      </w:r>
    </w:p>
    <w:p w:rsidR="0027071E" w:rsidRPr="00C2671E" w:rsidRDefault="00235BA2" w:rsidP="007254CF">
      <w:pPr>
        <w:pStyle w:val="Style1"/>
        <w:rPr>
          <w:b/>
          <w:sz w:val="22"/>
          <w:szCs w:val="22"/>
        </w:rPr>
      </w:pPr>
      <w:bookmarkStart w:id="9" w:name="_Toc492662889"/>
      <w:r w:rsidRPr="00C2671E">
        <w:rPr>
          <w:b/>
          <w:sz w:val="22"/>
          <w:szCs w:val="22"/>
        </w:rPr>
        <w:lastRenderedPageBreak/>
        <w:t>Descrição</w:t>
      </w:r>
      <w:bookmarkEnd w:id="9"/>
    </w:p>
    <w:p w:rsidR="00255FA8" w:rsidRPr="00C2671E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0" w:name="_Toc492662890"/>
      <w:r w:rsidRPr="00C2671E">
        <w:rPr>
          <w:b/>
          <w:sz w:val="22"/>
          <w:szCs w:val="22"/>
        </w:rPr>
        <w:t>Descrição Geral do Processo</w:t>
      </w:r>
      <w:bookmarkEnd w:id="10"/>
    </w:p>
    <w:p w:rsidR="003E18D5" w:rsidRPr="00C2671E" w:rsidRDefault="003E18D5" w:rsidP="00CA0128">
      <w:pPr>
        <w:pStyle w:val="Body"/>
        <w:spacing w:line="360" w:lineRule="auto"/>
        <w:ind w:firstLine="641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O processo de Gestão da Conta Custo em Óleo contempla as seguintes etapas:</w:t>
      </w:r>
    </w:p>
    <w:p w:rsidR="003E18D5" w:rsidRPr="00C2671E" w:rsidRDefault="003E18D5" w:rsidP="003E18D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 xml:space="preserve">Disponibilização dos dados atualizados de Reconhecimento e Recuperação de Custos em Óleo no </w:t>
      </w:r>
      <w:r w:rsidR="00E52D91" w:rsidRPr="00C2671E">
        <w:rPr>
          <w:rFonts w:cstheme="minorHAnsi"/>
        </w:rPr>
        <w:t>Sistema de Gestão de Gastos de Partilha de Produção</w:t>
      </w:r>
      <w:r w:rsidRPr="00C2671E">
        <w:rPr>
          <w:rFonts w:eastAsia="Times New Roman" w:cstheme="minorHAnsi"/>
          <w:lang w:eastAsia="pt-BR"/>
        </w:rPr>
        <w:t xml:space="preserve"> (</w:t>
      </w:r>
      <w:r w:rsidR="00AF64B1" w:rsidRPr="00C2671E">
        <w:rPr>
          <w:rFonts w:eastAsia="Times New Roman" w:cstheme="minorHAnsi"/>
          <w:lang w:eastAsia="pt-BR"/>
        </w:rPr>
        <w:t>SGPP</w:t>
      </w:r>
      <w:r w:rsidRPr="00C2671E">
        <w:rPr>
          <w:rFonts w:eastAsia="Times New Roman" w:cstheme="minorHAnsi"/>
          <w:lang w:eastAsia="pt-BR"/>
        </w:rPr>
        <w:t>);</w:t>
      </w:r>
    </w:p>
    <w:p w:rsidR="003E18D5" w:rsidRPr="00C2671E" w:rsidRDefault="003E18D5" w:rsidP="003E18D5">
      <w:pPr>
        <w:pStyle w:val="Body"/>
        <w:numPr>
          <w:ilvl w:val="0"/>
          <w:numId w:val="3"/>
        </w:numPr>
        <w:spacing w:line="360" w:lineRule="auto"/>
        <w:ind w:left="672" w:firstLine="420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 xml:space="preserve">Consolidação dos dados de forma automática no </w:t>
      </w:r>
      <w:r w:rsidR="00AF64B1" w:rsidRPr="00C2671E">
        <w:rPr>
          <w:rFonts w:eastAsia="Times New Roman" w:cstheme="minorHAnsi"/>
          <w:lang w:eastAsia="pt-BR"/>
        </w:rPr>
        <w:t>SGPP</w:t>
      </w:r>
      <w:r w:rsidRPr="00C2671E">
        <w:rPr>
          <w:rFonts w:eastAsia="Times New Roman" w:cstheme="minorHAnsi"/>
          <w:lang w:eastAsia="pt-BR"/>
        </w:rPr>
        <w:t>;</w:t>
      </w:r>
    </w:p>
    <w:p w:rsidR="003E18D5" w:rsidRPr="00C2671E" w:rsidRDefault="003E18D5" w:rsidP="003E18D5">
      <w:pPr>
        <w:pStyle w:val="Body"/>
        <w:numPr>
          <w:ilvl w:val="0"/>
          <w:numId w:val="3"/>
        </w:numPr>
        <w:spacing w:line="360" w:lineRule="auto"/>
        <w:ind w:left="672" w:firstLine="420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 xml:space="preserve">Elaboração </w:t>
      </w:r>
      <w:r w:rsidR="002E771E" w:rsidRPr="00C2671E">
        <w:rPr>
          <w:rFonts w:eastAsia="Times New Roman" w:cstheme="minorHAnsi"/>
          <w:lang w:eastAsia="pt-BR"/>
        </w:rPr>
        <w:t xml:space="preserve">e emissão </w:t>
      </w:r>
      <w:r w:rsidRPr="00C2671E">
        <w:rPr>
          <w:rFonts w:eastAsia="Times New Roman" w:cstheme="minorHAnsi"/>
          <w:lang w:eastAsia="pt-BR"/>
        </w:rPr>
        <w:t>do Relatório</w:t>
      </w:r>
      <w:r w:rsidR="002E771E" w:rsidRPr="00C2671E">
        <w:rPr>
          <w:rFonts w:eastAsia="Times New Roman" w:cstheme="minorHAnsi"/>
          <w:lang w:eastAsia="pt-BR"/>
        </w:rPr>
        <w:t xml:space="preserve"> Mensal da Evolução do Saldo da CCO</w:t>
      </w:r>
      <w:r w:rsidRPr="00C2671E">
        <w:rPr>
          <w:rFonts w:eastAsia="Times New Roman" w:cstheme="minorHAnsi"/>
          <w:lang w:eastAsia="pt-BR"/>
        </w:rPr>
        <w:t xml:space="preserve"> </w:t>
      </w:r>
      <w:r w:rsidR="002E771E" w:rsidRPr="00C2671E">
        <w:rPr>
          <w:rFonts w:eastAsia="Times New Roman" w:cstheme="minorHAnsi"/>
          <w:lang w:eastAsia="pt-BR"/>
        </w:rPr>
        <w:t>pela GE do CPP</w:t>
      </w:r>
      <w:r w:rsidRPr="00C2671E">
        <w:rPr>
          <w:rFonts w:eastAsia="Times New Roman" w:cstheme="minorHAnsi"/>
          <w:lang w:eastAsia="pt-BR"/>
        </w:rPr>
        <w:t>;</w:t>
      </w:r>
    </w:p>
    <w:p w:rsidR="0027071E" w:rsidRPr="00C2671E" w:rsidRDefault="003E18D5" w:rsidP="003E18D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 xml:space="preserve">Envio dos dados atualizados para cálculo </w:t>
      </w:r>
      <w:r w:rsidR="002E771E" w:rsidRPr="00C2671E">
        <w:rPr>
          <w:rFonts w:eastAsia="Times New Roman" w:cstheme="minorHAnsi"/>
          <w:lang w:eastAsia="pt-BR"/>
        </w:rPr>
        <w:t xml:space="preserve">da recuperação do </w:t>
      </w:r>
      <w:r w:rsidRPr="00C2671E">
        <w:rPr>
          <w:rFonts w:eastAsia="Times New Roman" w:cstheme="minorHAnsi"/>
          <w:lang w:eastAsia="pt-BR"/>
        </w:rPr>
        <w:t>custo em óleo e para</w:t>
      </w:r>
      <w:r w:rsidR="002E771E" w:rsidRPr="00C2671E">
        <w:rPr>
          <w:rFonts w:eastAsia="Times New Roman" w:cstheme="minorHAnsi"/>
          <w:lang w:eastAsia="pt-BR"/>
        </w:rPr>
        <w:t xml:space="preserve"> cálculo do excedente em óleo da União;</w:t>
      </w:r>
    </w:p>
    <w:p w:rsidR="002E771E" w:rsidRPr="00C2671E" w:rsidRDefault="002E771E" w:rsidP="003E18D5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C2671E">
        <w:rPr>
          <w:rFonts w:eastAsia="Times New Roman" w:cstheme="minorHAnsi"/>
          <w:lang w:eastAsia="pt-BR"/>
        </w:rPr>
        <w:t>Elaboração e emissão do Relatório Mensal Consolidado da Evolução do Saldo da CCO pela DGC.</w:t>
      </w:r>
    </w:p>
    <w:p w:rsidR="00235BA2" w:rsidRPr="00C2671E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1" w:name="_Toc492662891"/>
      <w:r w:rsidRPr="00C2671E">
        <w:rPr>
          <w:b/>
          <w:sz w:val="22"/>
          <w:szCs w:val="22"/>
        </w:rPr>
        <w:t xml:space="preserve">Validações e Cálculos do </w:t>
      </w:r>
      <w:r w:rsidR="00AF64B1" w:rsidRPr="00C2671E">
        <w:rPr>
          <w:b/>
          <w:sz w:val="22"/>
          <w:szCs w:val="22"/>
        </w:rPr>
        <w:t>SGPP</w:t>
      </w:r>
      <w:bookmarkEnd w:id="11"/>
    </w:p>
    <w:p w:rsidR="003E18D5" w:rsidRDefault="003E18D5" w:rsidP="00255FA8">
      <w:pPr>
        <w:pStyle w:val="Body"/>
        <w:spacing w:line="360" w:lineRule="auto"/>
        <w:ind w:left="658" w:firstLine="360"/>
        <w:rPr>
          <w:rFonts w:eastAsia="Times New Roman" w:cstheme="minorHAnsi"/>
          <w:sz w:val="24"/>
          <w:szCs w:val="24"/>
          <w:lang w:eastAsia="pt-BR"/>
        </w:rPr>
      </w:pPr>
      <w:r w:rsidRPr="00C2671E">
        <w:rPr>
          <w:rFonts w:eastAsia="Times New Roman" w:cstheme="minorHAnsi"/>
          <w:lang w:eastAsia="pt-BR"/>
        </w:rPr>
        <w:t xml:space="preserve">No processo de Gestão da Conta Custo em Óleo, a </w:t>
      </w:r>
      <w:r w:rsidR="00AF64B1" w:rsidRPr="00C2671E">
        <w:rPr>
          <w:rFonts w:eastAsia="Times New Roman" w:cstheme="minorHAnsi"/>
          <w:lang w:eastAsia="pt-BR"/>
        </w:rPr>
        <w:t>Pré-Sal Petróleo</w:t>
      </w:r>
      <w:r w:rsidRPr="00C2671E">
        <w:rPr>
          <w:rFonts w:eastAsia="Times New Roman" w:cstheme="minorHAnsi"/>
          <w:lang w:eastAsia="pt-BR"/>
        </w:rPr>
        <w:t xml:space="preserve"> atualiza o saldo acumulado da conta custo em óleo no </w:t>
      </w:r>
      <w:r w:rsidR="00AF64B1" w:rsidRPr="00C2671E">
        <w:rPr>
          <w:rFonts w:eastAsia="Times New Roman" w:cstheme="minorHAnsi"/>
          <w:lang w:eastAsia="pt-BR"/>
        </w:rPr>
        <w:t>SGPP</w:t>
      </w:r>
      <w:r w:rsidRPr="00C2671E">
        <w:rPr>
          <w:rFonts w:eastAsia="Times New Roman" w:cstheme="minorHAnsi"/>
          <w:lang w:eastAsia="pt-BR"/>
        </w:rPr>
        <w:t xml:space="preserve"> tendo como base as informações atualizadas de reconhecimento e recuperação de custos em óleo. Com esses dados, gera um relatório que é compartilhado com a área responsável pelo cálculo do custo em óleo recuperado e pela gestão de dados da produção.</w:t>
      </w:r>
    </w:p>
    <w:p w:rsidR="00F47E29" w:rsidRDefault="003E18D5" w:rsidP="00255FA8">
      <w:pPr>
        <w:pStyle w:val="Body"/>
        <w:spacing w:line="360" w:lineRule="auto"/>
        <w:ind w:left="658"/>
        <w:rPr>
          <w:rFonts w:eastAsia="Times New Roman" w:cstheme="minorHAnsi"/>
          <w:sz w:val="20"/>
          <w:szCs w:val="24"/>
          <w:lang w:eastAsia="pt-BR"/>
        </w:rPr>
      </w:pPr>
      <w:r>
        <w:rPr>
          <w:noProof/>
          <w:lang w:eastAsia="pt-BR"/>
        </w:rPr>
        <w:drawing>
          <wp:inline distT="0" distB="0" distL="0" distR="0" wp14:anchorId="4C79B58B" wp14:editId="7436666A">
            <wp:extent cx="5732145" cy="602615"/>
            <wp:effectExtent l="0" t="0" r="1905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sz w:val="20"/>
          <w:szCs w:val="24"/>
          <w:lang w:eastAsia="pt-BR"/>
        </w:rPr>
        <w:br/>
      </w:r>
      <w:r w:rsidRPr="003E18D5">
        <w:rPr>
          <w:rFonts w:eastAsia="Times New Roman" w:cstheme="minorHAnsi"/>
          <w:sz w:val="20"/>
          <w:szCs w:val="24"/>
          <w:lang w:eastAsia="pt-BR"/>
        </w:rPr>
        <w:t xml:space="preserve">Figura 1: Validações e Cálculos </w:t>
      </w:r>
      <w:r w:rsidR="00C9324D">
        <w:rPr>
          <w:rFonts w:eastAsia="Times New Roman" w:cstheme="minorHAnsi"/>
          <w:sz w:val="20"/>
          <w:szCs w:val="24"/>
          <w:lang w:eastAsia="pt-BR"/>
        </w:rPr>
        <w:t>do Processo</w:t>
      </w:r>
    </w:p>
    <w:p w:rsidR="00F47E29" w:rsidRPr="00C2671E" w:rsidRDefault="00F47E29" w:rsidP="00EB760D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2" w:name="_Toc492662892"/>
      <w:r w:rsidRPr="00C2671E">
        <w:rPr>
          <w:b/>
          <w:sz w:val="22"/>
          <w:szCs w:val="22"/>
        </w:rPr>
        <w:t>Procedimento</w:t>
      </w:r>
      <w:r w:rsidR="00255FA8" w:rsidRPr="00C2671E">
        <w:rPr>
          <w:b/>
          <w:sz w:val="22"/>
          <w:szCs w:val="22"/>
        </w:rPr>
        <w:t xml:space="preserve"> </w:t>
      </w:r>
      <w:r w:rsidRPr="00C2671E">
        <w:rPr>
          <w:b/>
          <w:sz w:val="22"/>
          <w:szCs w:val="22"/>
        </w:rPr>
        <w:t xml:space="preserve">de </w:t>
      </w:r>
      <w:r w:rsidR="00EB760D" w:rsidRPr="00C2671E">
        <w:rPr>
          <w:b/>
          <w:sz w:val="22"/>
          <w:szCs w:val="22"/>
        </w:rPr>
        <w:t>Gestão da Conta Custo em Óleo</w:t>
      </w:r>
      <w:bookmarkEnd w:id="12"/>
    </w:p>
    <w:p w:rsidR="00EB760D" w:rsidRPr="00C2671E" w:rsidRDefault="00EB760D" w:rsidP="00255FA8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O</w:t>
      </w:r>
      <w:r w:rsidR="00EA647E" w:rsidRPr="00C2671E">
        <w:rPr>
          <w:rFonts w:asciiTheme="minorHAnsi" w:hAnsiTheme="minorHAnsi" w:cstheme="minorHAnsi"/>
          <w:sz w:val="22"/>
          <w:szCs w:val="22"/>
        </w:rPr>
        <w:t xml:space="preserve">s insumos desse </w:t>
      </w:r>
      <w:r w:rsidRPr="00C2671E">
        <w:rPr>
          <w:rFonts w:asciiTheme="minorHAnsi" w:hAnsiTheme="minorHAnsi" w:cstheme="minorHAnsi"/>
          <w:sz w:val="22"/>
          <w:szCs w:val="22"/>
        </w:rPr>
        <w:t xml:space="preserve">processo </w:t>
      </w:r>
      <w:r w:rsidR="00EA647E" w:rsidRPr="00C2671E">
        <w:rPr>
          <w:rFonts w:asciiTheme="minorHAnsi" w:hAnsiTheme="minorHAnsi" w:cstheme="minorHAnsi"/>
          <w:sz w:val="22"/>
          <w:szCs w:val="22"/>
        </w:rPr>
        <w:t>são o</w:t>
      </w:r>
      <w:r w:rsidRPr="00C2671E">
        <w:rPr>
          <w:rFonts w:asciiTheme="minorHAnsi" w:hAnsiTheme="minorHAnsi" w:cstheme="minorHAnsi"/>
          <w:sz w:val="22"/>
          <w:szCs w:val="22"/>
        </w:rPr>
        <w:t xml:space="preserve"> </w:t>
      </w:r>
      <w:r w:rsidR="00CA0128" w:rsidRPr="00C2671E">
        <w:rPr>
          <w:rFonts w:asciiTheme="minorHAnsi" w:hAnsiTheme="minorHAnsi" w:cstheme="minorHAnsi"/>
          <w:sz w:val="22"/>
          <w:szCs w:val="22"/>
        </w:rPr>
        <w:t xml:space="preserve">Reconhecimento </w:t>
      </w:r>
      <w:r w:rsidR="00EA647E" w:rsidRPr="00C2671E">
        <w:rPr>
          <w:rFonts w:asciiTheme="minorHAnsi" w:hAnsiTheme="minorHAnsi" w:cstheme="minorHAnsi"/>
          <w:sz w:val="22"/>
          <w:szCs w:val="22"/>
        </w:rPr>
        <w:t xml:space="preserve">e Recuperação </w:t>
      </w:r>
      <w:r w:rsidR="00CA0128" w:rsidRPr="00C2671E">
        <w:rPr>
          <w:rFonts w:asciiTheme="minorHAnsi" w:hAnsiTheme="minorHAnsi" w:cstheme="minorHAnsi"/>
          <w:sz w:val="22"/>
          <w:szCs w:val="22"/>
        </w:rPr>
        <w:t>do Custo em Óleo</w:t>
      </w:r>
      <w:r w:rsidRPr="00C2671E">
        <w:rPr>
          <w:rFonts w:asciiTheme="minorHAnsi" w:hAnsiTheme="minorHAnsi" w:cstheme="minorHAnsi"/>
          <w:sz w:val="22"/>
          <w:szCs w:val="22"/>
        </w:rPr>
        <w:t>. A Gerência Executiva do CPP deve iniciar o processo de Gestão da Conta Custo em Óleo</w:t>
      </w:r>
      <w:r w:rsidR="00EA647E" w:rsidRPr="00C2671E">
        <w:rPr>
          <w:rFonts w:asciiTheme="minorHAnsi" w:hAnsiTheme="minorHAnsi" w:cstheme="minorHAnsi"/>
          <w:sz w:val="22"/>
          <w:szCs w:val="22"/>
        </w:rPr>
        <w:t xml:space="preserve"> com suporte do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 xml:space="preserve"> através das atividades a seguir:</w:t>
      </w:r>
    </w:p>
    <w:p w:rsidR="003E1865" w:rsidRPr="00C2671E" w:rsidRDefault="00EB760D" w:rsidP="00EB760D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C2671E">
        <w:rPr>
          <w:b/>
          <w:sz w:val="22"/>
          <w:szCs w:val="22"/>
        </w:rPr>
        <w:t xml:space="preserve">Consulta </w:t>
      </w:r>
      <w:r w:rsidR="00CA0128" w:rsidRPr="00C2671E">
        <w:rPr>
          <w:b/>
          <w:sz w:val="22"/>
          <w:szCs w:val="22"/>
        </w:rPr>
        <w:t>ao saldo da CCO atualizado</w:t>
      </w:r>
      <w:r w:rsidRPr="00C2671E">
        <w:rPr>
          <w:b/>
          <w:sz w:val="22"/>
          <w:szCs w:val="22"/>
        </w:rPr>
        <w:t xml:space="preserve"> – Atividades 1 a 3, ilustradas no Padrão de Processo (Anexo I)</w:t>
      </w:r>
    </w:p>
    <w:p w:rsidR="00EB760D" w:rsidRPr="00C2671E" w:rsidRDefault="00EB760D" w:rsidP="00EB760D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lastRenderedPageBreak/>
        <w:t xml:space="preserve">Os dados atualizados referentes aos custos </w:t>
      </w:r>
      <w:r w:rsidR="00CA0128" w:rsidRPr="00C2671E">
        <w:rPr>
          <w:rFonts w:asciiTheme="minorHAnsi" w:hAnsiTheme="minorHAnsi" w:cstheme="minorHAnsi"/>
          <w:sz w:val="22"/>
          <w:szCs w:val="22"/>
        </w:rPr>
        <w:t xml:space="preserve">reconhecidos e </w:t>
      </w:r>
      <w:r w:rsidRPr="00C2671E">
        <w:rPr>
          <w:rFonts w:asciiTheme="minorHAnsi" w:hAnsiTheme="minorHAnsi" w:cstheme="minorHAnsi"/>
          <w:sz w:val="22"/>
          <w:szCs w:val="22"/>
        </w:rPr>
        <w:t xml:space="preserve">recuperados são disponibilizados automaticamente através do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 xml:space="preserve"> dentro do formato e prazo estipulados no Contrato de Partilha</w:t>
      </w:r>
      <w:r w:rsidR="00E25F81" w:rsidRPr="00C2671E">
        <w:rPr>
          <w:rFonts w:asciiTheme="minorHAnsi" w:hAnsiTheme="minorHAnsi" w:cstheme="minorHAnsi"/>
          <w:sz w:val="22"/>
          <w:szCs w:val="22"/>
        </w:rPr>
        <w:t xml:space="preserve"> da Produção</w:t>
      </w:r>
      <w:r w:rsidRPr="00C2671E">
        <w:rPr>
          <w:rFonts w:asciiTheme="minorHAnsi" w:hAnsiTheme="minorHAnsi" w:cstheme="minorHAnsi"/>
          <w:sz w:val="22"/>
          <w:szCs w:val="22"/>
        </w:rPr>
        <w:t>.</w:t>
      </w:r>
    </w:p>
    <w:p w:rsidR="00EB760D" w:rsidRPr="00C2671E" w:rsidRDefault="00EB760D" w:rsidP="00EB760D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ab/>
        <w:t xml:space="preserve">Em seguida, esses dados são consolidados, através do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 xml:space="preserve"> e conforme as regras estabelecidas e parametrizadas na ferramenta, para que seja possível obter o saldo da Conta Custo em Óleo com os valores atualizados.</w:t>
      </w:r>
    </w:p>
    <w:p w:rsidR="00CA0128" w:rsidRPr="00C2671E" w:rsidRDefault="00CA0128" w:rsidP="00EB760D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C2671E">
        <w:rPr>
          <w:b/>
          <w:sz w:val="22"/>
          <w:szCs w:val="22"/>
        </w:rPr>
        <w:t>Consolidação das atualizações dos custos recuperados – Atividades 4 e 5, ilustradas no Padrão de Processo (Anexo I)</w:t>
      </w:r>
    </w:p>
    <w:p w:rsidR="0022033C" w:rsidRPr="00C2671E" w:rsidRDefault="0022033C" w:rsidP="00CA0128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O sistema deverá consolidar as atualizações dos custos recuperados para atualizar o saldo da CCO. Automaticamente será gerado e atualizado o Saldo da CCO para permitir a geração dos relatórios mensais e acumulados.</w:t>
      </w:r>
    </w:p>
    <w:p w:rsidR="003E1865" w:rsidRPr="00C2671E" w:rsidRDefault="00EB760D" w:rsidP="00EB760D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C2671E">
        <w:rPr>
          <w:b/>
          <w:sz w:val="22"/>
          <w:szCs w:val="22"/>
        </w:rPr>
        <w:t xml:space="preserve">Geração </w:t>
      </w:r>
      <w:r w:rsidR="00CA0128" w:rsidRPr="00C2671E">
        <w:rPr>
          <w:b/>
          <w:sz w:val="22"/>
          <w:szCs w:val="22"/>
        </w:rPr>
        <w:t xml:space="preserve">e Envio </w:t>
      </w:r>
      <w:r w:rsidRPr="00C2671E">
        <w:rPr>
          <w:b/>
          <w:sz w:val="22"/>
          <w:szCs w:val="22"/>
        </w:rPr>
        <w:t xml:space="preserve">do </w:t>
      </w:r>
      <w:r w:rsidR="00CA0128" w:rsidRPr="00C2671E">
        <w:rPr>
          <w:b/>
          <w:sz w:val="22"/>
          <w:szCs w:val="22"/>
        </w:rPr>
        <w:t>Relatório Mensal da Evolução do Saldo da CCO</w:t>
      </w:r>
      <w:r w:rsidRPr="00C2671E">
        <w:rPr>
          <w:b/>
          <w:sz w:val="22"/>
          <w:szCs w:val="22"/>
        </w:rPr>
        <w:t xml:space="preserve"> – Atividades </w:t>
      </w:r>
      <w:r w:rsidR="00CA0128" w:rsidRPr="00C2671E">
        <w:rPr>
          <w:b/>
          <w:sz w:val="22"/>
          <w:szCs w:val="22"/>
        </w:rPr>
        <w:t>6</w:t>
      </w:r>
      <w:r w:rsidRPr="00C2671E">
        <w:rPr>
          <w:b/>
          <w:sz w:val="22"/>
          <w:szCs w:val="22"/>
        </w:rPr>
        <w:t xml:space="preserve"> a </w:t>
      </w:r>
      <w:r w:rsidR="00CA0128" w:rsidRPr="00C2671E">
        <w:rPr>
          <w:b/>
          <w:sz w:val="22"/>
          <w:szCs w:val="22"/>
        </w:rPr>
        <w:t>11</w:t>
      </w:r>
      <w:r w:rsidRPr="00C2671E">
        <w:rPr>
          <w:b/>
          <w:sz w:val="22"/>
          <w:szCs w:val="22"/>
        </w:rPr>
        <w:t>, ilustradas no Padrão de Processo (Anexo I)</w:t>
      </w:r>
    </w:p>
    <w:p w:rsidR="00EB760D" w:rsidRPr="00C2671E" w:rsidRDefault="00EB760D" w:rsidP="00EB760D">
      <w:pPr>
        <w:spacing w:line="360" w:lineRule="auto"/>
        <w:ind w:left="993" w:firstLine="427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 xml:space="preserve">Com os dados consolidados na ferramenta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>, a Gerência Executiva do CPP deverá</w:t>
      </w:r>
      <w:r w:rsidR="0022033C" w:rsidRPr="00C2671E">
        <w:rPr>
          <w:rFonts w:asciiTheme="minorHAnsi" w:hAnsiTheme="minorHAnsi" w:cstheme="minorHAnsi"/>
          <w:sz w:val="22"/>
          <w:szCs w:val="22"/>
        </w:rPr>
        <w:t xml:space="preserve"> gerar e</w:t>
      </w:r>
      <w:r w:rsidRPr="00C2671E">
        <w:rPr>
          <w:rFonts w:asciiTheme="minorHAnsi" w:hAnsiTheme="minorHAnsi" w:cstheme="minorHAnsi"/>
          <w:sz w:val="22"/>
          <w:szCs w:val="22"/>
        </w:rPr>
        <w:t xml:space="preserve"> emitir um relatório com as análises pertinentes à atualização do Saldo da Conta Custo em Óleo e salvar essas informações no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>.</w:t>
      </w:r>
      <w:r w:rsidR="0022033C" w:rsidRPr="00C2671E">
        <w:rPr>
          <w:rFonts w:asciiTheme="minorHAnsi" w:hAnsiTheme="minorHAnsi" w:cstheme="minorHAnsi"/>
          <w:sz w:val="22"/>
          <w:szCs w:val="22"/>
        </w:rPr>
        <w:t xml:space="preserve"> O Relatório Mensal da Evolução do Saldo da CCO deve ser disponibilizado internamente via workflow para a DGC e Fiscalização.</w:t>
      </w:r>
    </w:p>
    <w:p w:rsidR="00EB760D" w:rsidRPr="00C2671E" w:rsidRDefault="00EB760D" w:rsidP="00EB760D">
      <w:pPr>
        <w:spacing w:line="360" w:lineRule="auto"/>
        <w:ind w:left="993" w:firstLine="427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 xml:space="preserve">Em seguida, 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>, automaticamente, deverá enviar os dados atualizados da Conta Custo em Óleo para os processos de “Recuperação do Custo em Óleo”</w:t>
      </w:r>
      <w:r w:rsidR="0022033C" w:rsidRPr="00C2671E">
        <w:rPr>
          <w:rFonts w:asciiTheme="minorHAnsi" w:hAnsiTheme="minorHAnsi" w:cstheme="minorHAnsi"/>
          <w:sz w:val="22"/>
          <w:szCs w:val="22"/>
        </w:rPr>
        <w:t xml:space="preserve"> e de “Cálculo do Excedente em Óleo da União”</w:t>
      </w:r>
      <w:r w:rsidRPr="00C2671E">
        <w:rPr>
          <w:rFonts w:asciiTheme="minorHAnsi" w:hAnsiTheme="minorHAnsi" w:cstheme="minorHAnsi"/>
          <w:sz w:val="22"/>
          <w:szCs w:val="22"/>
        </w:rPr>
        <w:t>, dados que servirão como entradas para os respectivos processos.</w:t>
      </w:r>
    </w:p>
    <w:p w:rsidR="00CA0128" w:rsidRPr="00C2671E" w:rsidRDefault="00CA0128" w:rsidP="00CA0128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C2671E">
        <w:rPr>
          <w:b/>
          <w:sz w:val="22"/>
          <w:szCs w:val="22"/>
        </w:rPr>
        <w:t>Geração e Envio do Relatório Mensal Consolidado da Evolução do Saldo da CCO – Atividades 12 a 14, ilustradas no Padrão de Processo (Anexo I)</w:t>
      </w:r>
    </w:p>
    <w:p w:rsidR="00CA0128" w:rsidRPr="00C2671E" w:rsidRDefault="00E25F81" w:rsidP="00CA0128">
      <w:pPr>
        <w:spacing w:line="360" w:lineRule="auto"/>
        <w:ind w:left="993" w:firstLine="427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A</w:t>
      </w:r>
      <w:r w:rsidR="0022033C" w:rsidRPr="00C2671E">
        <w:rPr>
          <w:rFonts w:asciiTheme="minorHAnsi" w:hAnsiTheme="minorHAnsi" w:cstheme="minorHAnsi"/>
          <w:sz w:val="22"/>
          <w:szCs w:val="22"/>
        </w:rPr>
        <w:t xml:space="preserve"> DGC irá consolidar os relatórios mensais da evolução do saldo da CCO de todos os CPPs e gerar o Relatório Mensal Consolidado da Evolução do Saldo da CCO, que será disponibilizado no sistema e enviado à DE.</w:t>
      </w:r>
    </w:p>
    <w:p w:rsidR="00F43A06" w:rsidRPr="00C2671E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3" w:name="_Toc492662893"/>
      <w:r w:rsidRPr="00C2671E">
        <w:rPr>
          <w:b/>
          <w:sz w:val="22"/>
          <w:szCs w:val="22"/>
        </w:rPr>
        <w:t>Monitoramento do Processo</w:t>
      </w:r>
      <w:bookmarkEnd w:id="13"/>
    </w:p>
    <w:p w:rsidR="00F43A06" w:rsidRPr="00C2671E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C2671E">
        <w:rPr>
          <w:b/>
          <w:sz w:val="22"/>
          <w:szCs w:val="22"/>
        </w:rPr>
        <w:t>Monitoramento Gerencial (Indicadores de Performance do Processo):</w:t>
      </w:r>
    </w:p>
    <w:p w:rsidR="009730D3" w:rsidRPr="00C2671E" w:rsidRDefault="00EB760D" w:rsidP="00F43A06">
      <w:pPr>
        <w:spacing w:line="360" w:lineRule="auto"/>
        <w:ind w:left="1022" w:firstLine="427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O Processo de Gestão da Conta Custo em Óleo </w:t>
      </w:r>
      <w:r w:rsidR="009730D3"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deve ser suportado por Indicadores de Performance do Processo, conforme </w:t>
      </w:r>
      <w:r w:rsidR="009730D3" w:rsidRPr="00C2671E">
        <w:rPr>
          <w:rFonts w:asciiTheme="minorHAnsi" w:hAnsiTheme="minorHAnsi" w:cstheme="minorHAnsi"/>
          <w:sz w:val="22"/>
          <w:szCs w:val="22"/>
        </w:rPr>
        <w:t>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:rsidR="009730D3" w:rsidRPr="00C2671E" w:rsidRDefault="009730D3" w:rsidP="00F43A06">
      <w:pPr>
        <w:spacing w:line="360" w:lineRule="auto"/>
        <w:ind w:left="1022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a)</w:t>
      </w:r>
      <w:r w:rsidRPr="00C2671E">
        <w:rPr>
          <w:rFonts w:asciiTheme="minorHAnsi" w:hAnsiTheme="minorHAnsi" w:cstheme="minorHAnsi"/>
          <w:sz w:val="22"/>
          <w:szCs w:val="22"/>
        </w:rPr>
        <w:tab/>
        <w:t>Analista responsável pel</w:t>
      </w:r>
      <w:r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gestão dos indicadores </w:t>
      </w:r>
      <w:r w:rsidR="00EB760D"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Assessoria Especial – Monitoramento e Auditoria </w:t>
      </w:r>
      <w:r w:rsidRPr="00C2671E">
        <w:rPr>
          <w:rFonts w:asciiTheme="minorHAnsi" w:hAnsiTheme="minorHAnsi" w:cstheme="minorHAnsi"/>
          <w:sz w:val="22"/>
          <w:szCs w:val="22"/>
        </w:rPr>
        <w:t>deve gerar os indicadores e enviá-los via e-mail para análise do Comitê Executivo e do Comitê de Especialistas;</w:t>
      </w:r>
    </w:p>
    <w:p w:rsidR="009730D3" w:rsidRPr="00C2671E" w:rsidRDefault="009730D3" w:rsidP="00F43A06">
      <w:pPr>
        <w:spacing w:line="360" w:lineRule="auto"/>
        <w:ind w:left="1022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b)</w:t>
      </w:r>
      <w:r w:rsidRPr="00C2671E">
        <w:rPr>
          <w:rFonts w:asciiTheme="minorHAnsi" w:hAnsiTheme="minorHAnsi" w:cstheme="minorHAnsi"/>
          <w:sz w:val="22"/>
          <w:szCs w:val="22"/>
        </w:rPr>
        <w:tab/>
        <w:t>Comitê Executivo e Comitê de Especialistas devem avaliar os indicadores gerados para cada processo em reunião e aprovar o envio ao Comitê Diretivo; e</w:t>
      </w:r>
    </w:p>
    <w:p w:rsidR="009730D3" w:rsidRPr="00C2671E" w:rsidRDefault="009730D3" w:rsidP="00F43A06">
      <w:pPr>
        <w:spacing w:line="360" w:lineRule="auto"/>
        <w:ind w:left="1022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c)</w:t>
      </w:r>
      <w:r w:rsidRPr="00C2671E">
        <w:rPr>
          <w:rFonts w:asciiTheme="minorHAnsi" w:hAnsiTheme="minorHAnsi" w:cstheme="minorHAnsi"/>
          <w:sz w:val="22"/>
          <w:szCs w:val="22"/>
        </w:rPr>
        <w:tab/>
        <w:t xml:space="preserve">Comitê Diretivo e Comitê Executivo devem avaliar os resultados em reunião e elaborar plano de ação para os desvios apresentados. Arquivar resultados no </w:t>
      </w:r>
      <w:r w:rsidR="00AF64B1" w:rsidRPr="00C2671E">
        <w:rPr>
          <w:rFonts w:asciiTheme="minorHAnsi" w:hAnsiTheme="minorHAnsi" w:cstheme="minorHAnsi"/>
          <w:sz w:val="22"/>
          <w:szCs w:val="22"/>
        </w:rPr>
        <w:t>SGPP</w:t>
      </w:r>
      <w:r w:rsidRPr="00C2671E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:rsidR="009730D3" w:rsidRPr="00C2671E" w:rsidRDefault="009730D3" w:rsidP="00F43A06">
      <w:pPr>
        <w:spacing w:line="360" w:lineRule="auto"/>
        <w:ind w:left="1022" w:firstLine="42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indicador (detalhado no Anexo III deste documento) previsto para o processo </w:t>
      </w:r>
      <w:r w:rsidR="00EB760D"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>de Gestão da Conta Custo em Óleo</w:t>
      </w:r>
      <w:r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</w:t>
      </w:r>
    </w:p>
    <w:p w:rsidR="00F43A06" w:rsidRDefault="00EB760D" w:rsidP="00CA0128">
      <w:pPr>
        <w:pStyle w:val="PargrafodaLista"/>
        <w:numPr>
          <w:ilvl w:val="1"/>
          <w:numId w:val="9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671E">
        <w:rPr>
          <w:rFonts w:asciiTheme="minorHAnsi" w:hAnsiTheme="minorHAnsi" w:cstheme="minorHAnsi"/>
          <w:sz w:val="22"/>
          <w:szCs w:val="22"/>
        </w:rPr>
        <w:t>Saldo da Conta Custo em Óleo</w:t>
      </w:r>
    </w:p>
    <w:p w:rsidR="00C2671E" w:rsidRPr="00C2671E" w:rsidRDefault="00C2671E" w:rsidP="00C2671E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4" w:name="_Toc492662894"/>
      <w:r w:rsidRPr="00C2671E">
        <w:rPr>
          <w:b/>
          <w:sz w:val="22"/>
          <w:szCs w:val="22"/>
        </w:rPr>
        <w:t>Prazos</w:t>
      </w:r>
      <w:bookmarkEnd w:id="14"/>
    </w:p>
    <w:p w:rsidR="00C2671E" w:rsidRDefault="00C2671E" w:rsidP="00C2671E">
      <w:pPr>
        <w:spacing w:line="360" w:lineRule="auto"/>
        <w:ind w:left="641" w:firstLine="42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  <w:sectPr w:rsidR="00C2671E" w:rsidSect="00042F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 w:rsidRPr="00C2671E">
        <w:rPr>
          <w:rFonts w:asciiTheme="minorHAnsi" w:hAnsiTheme="minorHAnsi" w:cstheme="minorHAnsi"/>
          <w:color w:val="000000" w:themeColor="text1"/>
          <w:sz w:val="22"/>
          <w:szCs w:val="22"/>
        </w:rPr>
        <w:t>As atividades sistêmicas automáticas realizadas pelo SGPP devem ser realizadas de forma contínua, onde apenas a atividade de emissão do relatório da Conta Custo em Óleo Atualizado, emitido pela Gerência Executiva, deve ser executada mensalmente após a contabilização dos dados oriundos dos processos de “Reconhecimento de Custos” e “Recuperação de Custos”.</w:t>
      </w:r>
    </w:p>
    <w:p w:rsidR="007254CF" w:rsidRDefault="007254CF" w:rsidP="007254CF">
      <w:pPr>
        <w:pStyle w:val="Style1"/>
        <w:rPr>
          <w:b/>
          <w:sz w:val="22"/>
          <w:szCs w:val="22"/>
        </w:rPr>
      </w:pPr>
      <w:bookmarkStart w:id="15" w:name="_Toc492662895"/>
      <w:r w:rsidRPr="00C2671E">
        <w:rPr>
          <w:b/>
          <w:sz w:val="22"/>
          <w:szCs w:val="22"/>
        </w:rPr>
        <w:lastRenderedPageBreak/>
        <w:t>Índice de Revisões</w:t>
      </w:r>
      <w:bookmarkEnd w:id="15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C2671E" w:rsidRPr="00782700" w:rsidTr="00B37EB3">
        <w:trPr>
          <w:jc w:val="center"/>
        </w:trPr>
        <w:tc>
          <w:tcPr>
            <w:tcW w:w="9352" w:type="dxa"/>
            <w:gridSpan w:val="11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C2671E" w:rsidRPr="00C85FAF" w:rsidTr="00B37EB3">
        <w:trPr>
          <w:jc w:val="center"/>
        </w:trPr>
        <w:tc>
          <w:tcPr>
            <w:tcW w:w="732" w:type="dxa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:rsidR="00C2671E" w:rsidRPr="00C85FAF" w:rsidRDefault="00C2671E" w:rsidP="00B37EB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1584" w:type="dxa"/>
            <w:gridSpan w:val="2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:rsidR="00C2671E" w:rsidRPr="00C85FAF" w:rsidRDefault="00C2671E" w:rsidP="00B37E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C2671E" w:rsidRPr="00C85FAF" w:rsidTr="00B37EB3">
        <w:trPr>
          <w:jc w:val="center"/>
        </w:trPr>
        <w:tc>
          <w:tcPr>
            <w:tcW w:w="1584" w:type="dxa"/>
            <w:gridSpan w:val="2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1584" w:type="dxa"/>
            <w:gridSpan w:val="2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1584" w:type="dxa"/>
            <w:gridSpan w:val="2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1E" w:rsidRPr="00C85FAF" w:rsidTr="00B37EB3">
        <w:trPr>
          <w:jc w:val="center"/>
        </w:trPr>
        <w:tc>
          <w:tcPr>
            <w:tcW w:w="1584" w:type="dxa"/>
            <w:gridSpan w:val="2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C2671E" w:rsidRPr="00C85FAF" w:rsidRDefault="00C2671E" w:rsidP="00B37EB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43A06" w:rsidRPr="00C2671E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</w:p>
    <w:p w:rsidR="00F43A06" w:rsidRPr="00C2671E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</w:p>
    <w:p w:rsidR="004F6599" w:rsidRDefault="004F6599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/>
    <w:p w:rsidR="004F6599" w:rsidRPr="004F6599" w:rsidRDefault="004F6599" w:rsidP="004F6599">
      <w:pPr>
        <w:tabs>
          <w:tab w:val="left" w:pos="3390"/>
        </w:tabs>
      </w:pPr>
      <w:r>
        <w:tab/>
      </w:r>
    </w:p>
    <w:p w:rsidR="00502A6A" w:rsidRPr="004F6599" w:rsidRDefault="004F6599" w:rsidP="004F6599">
      <w:pPr>
        <w:tabs>
          <w:tab w:val="left" w:pos="3390"/>
        </w:tabs>
        <w:sectPr w:rsidR="00502A6A" w:rsidRPr="004F6599" w:rsidSect="00C2671E">
          <w:footerReference w:type="default" r:id="rId15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>
        <w:tab/>
      </w:r>
    </w:p>
    <w:p w:rsidR="00502A6A" w:rsidRPr="00C2671E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C2671E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C2671E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C2671E" w:rsidRPr="00C2671E" w:rsidRDefault="00C2671E" w:rsidP="00C2671E">
      <w:pPr>
        <w:pStyle w:val="Style1"/>
        <w:rPr>
          <w:b/>
          <w:sz w:val="22"/>
        </w:rPr>
      </w:pPr>
      <w:bookmarkStart w:id="16" w:name="_Toc492662896"/>
      <w:r w:rsidRPr="00C2671E">
        <w:rPr>
          <w:b/>
          <w:sz w:val="22"/>
        </w:rPr>
        <w:t>Anexos</w:t>
      </w:r>
      <w:bookmarkEnd w:id="16"/>
    </w:p>
    <w:p w:rsidR="00484A4B" w:rsidRPr="00C2671E" w:rsidRDefault="008A6F1C" w:rsidP="00C2671E">
      <w:pPr>
        <w:pStyle w:val="Style2"/>
        <w:numPr>
          <w:ilvl w:val="1"/>
          <w:numId w:val="2"/>
        </w:numPr>
        <w:rPr>
          <w:b/>
          <w:sz w:val="22"/>
        </w:rPr>
      </w:pPr>
      <w:bookmarkStart w:id="17" w:name="_Toc492662897"/>
      <w:r>
        <w:rPr>
          <w:b/>
          <w:sz w:val="22"/>
        </w:rPr>
        <w:t xml:space="preserve">Anexo I - </w:t>
      </w:r>
      <w:r w:rsidR="00484A4B" w:rsidRPr="00C2671E">
        <w:rPr>
          <w:b/>
          <w:sz w:val="22"/>
        </w:rPr>
        <w:t>Padrão de Processo</w:t>
      </w:r>
      <w:bookmarkEnd w:id="17"/>
    </w:p>
    <w:p w:rsidR="00EB760D" w:rsidRPr="00E25A35" w:rsidRDefault="00A46B91" w:rsidP="00C2671E">
      <w:pPr>
        <w:rPr>
          <w:rFonts w:ascii="Univers for KPMG" w:hAnsi="Univers for KPMG"/>
        </w:rPr>
      </w:pPr>
      <w:r w:rsidRPr="00A46B91">
        <w:rPr>
          <w:noProof/>
        </w:rPr>
        <w:drawing>
          <wp:inline distT="0" distB="0" distL="0" distR="0">
            <wp:extent cx="7286625" cy="3186188"/>
            <wp:effectExtent l="19050" t="19050" r="9525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049" cy="32021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46B91" w:rsidRDefault="00502A6A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502A6A">
        <w:rPr>
          <w:rFonts w:asciiTheme="minorHAnsi" w:hAnsiTheme="minorHAnsi" w:cstheme="minorHAnsi"/>
          <w:sz w:val="20"/>
          <w:szCs w:val="20"/>
        </w:rPr>
        <w:t>Figura 2</w:t>
      </w:r>
      <w:r w:rsidR="00C9324D">
        <w:rPr>
          <w:rFonts w:asciiTheme="minorHAnsi" w:hAnsiTheme="minorHAnsi" w:cstheme="minorHAnsi"/>
          <w:sz w:val="20"/>
          <w:szCs w:val="20"/>
        </w:rPr>
        <w:t>:</w:t>
      </w:r>
      <w:r w:rsidRPr="00502A6A">
        <w:rPr>
          <w:rFonts w:asciiTheme="minorHAnsi" w:hAnsiTheme="minorHAnsi" w:cstheme="minorHAnsi"/>
          <w:sz w:val="20"/>
          <w:szCs w:val="20"/>
        </w:rPr>
        <w:t xml:space="preserve"> Macrofluxograma do Processo</w:t>
      </w:r>
    </w:p>
    <w:p w:rsidR="00F43A06" w:rsidRPr="00502A6A" w:rsidRDefault="00F43A06" w:rsidP="00502A6A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02A6A">
        <w:rPr>
          <w:rFonts w:asciiTheme="minorHAnsi" w:hAnsiTheme="minorHAnsi" w:cstheme="minorHAnsi"/>
          <w:sz w:val="20"/>
          <w:szCs w:val="20"/>
        </w:rPr>
        <w:br w:type="page"/>
      </w: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484A4B" w:rsidRPr="00C2671E" w:rsidRDefault="008A6F1C" w:rsidP="00C2671E">
      <w:pPr>
        <w:pStyle w:val="Style2"/>
        <w:numPr>
          <w:ilvl w:val="1"/>
          <w:numId w:val="2"/>
        </w:numPr>
        <w:rPr>
          <w:b/>
          <w:sz w:val="22"/>
        </w:rPr>
      </w:pPr>
      <w:bookmarkStart w:id="18" w:name="_Toc492662898"/>
      <w:r>
        <w:rPr>
          <w:b/>
          <w:sz w:val="22"/>
        </w:rPr>
        <w:t xml:space="preserve">Anexo II - </w:t>
      </w:r>
      <w:r w:rsidR="00484A4B" w:rsidRPr="00C2671E">
        <w:rPr>
          <w:b/>
          <w:sz w:val="22"/>
        </w:rPr>
        <w:t>Matriz de Papéis e Responsabilidades</w:t>
      </w:r>
      <w:bookmarkEnd w:id="18"/>
    </w:p>
    <w:p w:rsidR="00EB760D" w:rsidRPr="00E25A35" w:rsidRDefault="00EB760D" w:rsidP="00C2671E">
      <w:pPr>
        <w:rPr>
          <w:rFonts w:ascii="Univers for KPMG" w:hAnsi="Univers for KPMG"/>
        </w:rPr>
      </w:pPr>
      <w:r w:rsidRPr="00000E2E">
        <w:rPr>
          <w:noProof/>
        </w:rPr>
        <w:drawing>
          <wp:inline distT="0" distB="0" distL="0" distR="0" wp14:anchorId="3A43F24C" wp14:editId="5BB3129E">
            <wp:extent cx="3771900" cy="2950501"/>
            <wp:effectExtent l="19050" t="19050" r="19050" b="215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349" cy="303455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22138" w:rsidRDefault="00C9324D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Figura 3:</w:t>
      </w:r>
      <w:r w:rsidR="00502A6A" w:rsidRPr="00502A6A">
        <w:rPr>
          <w:rFonts w:asciiTheme="minorHAnsi" w:hAnsiTheme="minorHAnsi" w:cstheme="minorHAnsi"/>
          <w:sz w:val="20"/>
          <w:szCs w:val="20"/>
        </w:rPr>
        <w:t xml:space="preserve"> Matriz d</w:t>
      </w:r>
      <w:r w:rsidR="00EB760D">
        <w:rPr>
          <w:rFonts w:asciiTheme="minorHAnsi" w:hAnsiTheme="minorHAnsi" w:cstheme="minorHAnsi"/>
          <w:sz w:val="20"/>
          <w:szCs w:val="20"/>
        </w:rPr>
        <w:t>e Papéis e Responsabilidades do</w:t>
      </w:r>
      <w:r w:rsidR="00A46B91">
        <w:rPr>
          <w:rFonts w:asciiTheme="minorHAnsi" w:hAnsiTheme="minorHAnsi" w:cstheme="minorHAnsi"/>
          <w:sz w:val="20"/>
          <w:szCs w:val="20"/>
        </w:rPr>
        <w:t xml:space="preserve"> Processo</w:t>
      </w:r>
    </w:p>
    <w:p w:rsidR="00F43A06" w:rsidRPr="00502A6A" w:rsidRDefault="00F43A06" w:rsidP="00502A6A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02A6A">
        <w:rPr>
          <w:rFonts w:asciiTheme="minorHAnsi" w:hAnsiTheme="minorHAnsi" w:cstheme="minorHAnsi"/>
          <w:sz w:val="20"/>
          <w:szCs w:val="20"/>
        </w:rPr>
        <w:br w:type="page"/>
      </w: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484A4B" w:rsidRPr="00C2671E" w:rsidRDefault="008A6F1C" w:rsidP="00C2671E">
      <w:pPr>
        <w:pStyle w:val="Style2"/>
        <w:numPr>
          <w:ilvl w:val="1"/>
          <w:numId w:val="2"/>
        </w:numPr>
        <w:rPr>
          <w:b/>
          <w:sz w:val="22"/>
        </w:rPr>
      </w:pPr>
      <w:bookmarkStart w:id="19" w:name="_Toc492662899"/>
      <w:r>
        <w:rPr>
          <w:b/>
          <w:sz w:val="22"/>
        </w:rPr>
        <w:t xml:space="preserve">Anexo III - </w:t>
      </w:r>
      <w:r w:rsidR="00484A4B" w:rsidRPr="00C2671E">
        <w:rPr>
          <w:b/>
          <w:sz w:val="22"/>
        </w:rPr>
        <w:t>Indicadores de Performance do Processo</w:t>
      </w:r>
      <w:bookmarkEnd w:id="19"/>
    </w:p>
    <w:p w:rsidR="00EB760D" w:rsidRPr="00E25A35" w:rsidRDefault="00A46B91" w:rsidP="00C2671E">
      <w:pPr>
        <w:rPr>
          <w:rFonts w:ascii="Univers for KPMG" w:hAnsi="Univers for KPMG"/>
        </w:rPr>
      </w:pPr>
      <w:r w:rsidRPr="00A46B91">
        <w:rPr>
          <w:noProof/>
        </w:rPr>
        <w:drawing>
          <wp:inline distT="0" distB="0" distL="0" distR="0">
            <wp:extent cx="9320530" cy="1047376"/>
            <wp:effectExtent l="19050" t="19050" r="13970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10473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B760D" w:rsidRDefault="00C9324D" w:rsidP="00EB760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Figura 4:</w:t>
      </w:r>
      <w:r w:rsidR="00EB760D" w:rsidRPr="00EB760D">
        <w:rPr>
          <w:rFonts w:asciiTheme="minorHAnsi" w:hAnsiTheme="minorHAnsi" w:cstheme="minorHAnsi"/>
          <w:sz w:val="20"/>
          <w:szCs w:val="20"/>
        </w:rPr>
        <w:t xml:space="preserve"> Indicadores de Performance do Processo</w:t>
      </w:r>
    </w:p>
    <w:p w:rsidR="00A46B91" w:rsidRPr="00EB760D" w:rsidRDefault="00A46B91" w:rsidP="00EB760D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F43A06" w:rsidRDefault="00F43A06" w:rsidP="00EB760D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</w:rPr>
      </w:pPr>
      <w:r>
        <w:br w:type="page"/>
      </w: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484A4B" w:rsidRPr="00C2671E" w:rsidRDefault="008A6F1C" w:rsidP="00C2671E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662900"/>
      <w:r>
        <w:rPr>
          <w:b/>
          <w:sz w:val="22"/>
        </w:rPr>
        <w:t xml:space="preserve">Anexo IV - </w:t>
      </w:r>
      <w:r w:rsidR="00484A4B" w:rsidRPr="00C2671E">
        <w:rPr>
          <w:b/>
          <w:sz w:val="22"/>
        </w:rPr>
        <w:t>Mapa de Interface dos Processos</w:t>
      </w:r>
      <w:bookmarkEnd w:id="20"/>
    </w:p>
    <w:p w:rsidR="00B75ADE" w:rsidRDefault="00B75ADE" w:rsidP="00C2671E">
      <w:pPr>
        <w:rPr>
          <w:rFonts w:ascii="Univers for KPMG" w:hAnsi="Univers for KPMG"/>
        </w:rPr>
      </w:pPr>
      <w:r>
        <w:rPr>
          <w:rFonts w:ascii="Univers for KPMG" w:hAnsi="Univers for KPMG"/>
          <w:noProof/>
        </w:rPr>
        <w:drawing>
          <wp:inline distT="0" distB="0" distL="0" distR="0" wp14:anchorId="09BE4578" wp14:editId="637BCA8F">
            <wp:extent cx="6840543" cy="3095625"/>
            <wp:effectExtent l="19050" t="19050" r="1778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02" cy="31251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75ADE" w:rsidRPr="002B5BA3" w:rsidRDefault="00B75ADE" w:rsidP="00B75ADE">
      <w:pPr>
        <w:pStyle w:val="Body"/>
        <w:spacing w:before="0" w:line="240" w:lineRule="auto"/>
        <w:rPr>
          <w:rFonts w:eastAsia="Times New Roman" w:cstheme="minorHAnsi"/>
          <w:sz w:val="20"/>
          <w:szCs w:val="20"/>
          <w:lang w:eastAsia="pt-BR"/>
        </w:rPr>
      </w:pPr>
      <w:r w:rsidRPr="002B5BA3">
        <w:rPr>
          <w:rFonts w:cstheme="minorHAnsi"/>
          <w:sz w:val="20"/>
          <w:szCs w:val="20"/>
        </w:rPr>
        <w:t xml:space="preserve">Figura </w:t>
      </w:r>
      <w:r>
        <w:rPr>
          <w:rFonts w:cstheme="minorHAnsi"/>
          <w:sz w:val="20"/>
          <w:szCs w:val="20"/>
        </w:rPr>
        <w:t>5</w:t>
      </w:r>
      <w:r w:rsidRPr="002B5BA3">
        <w:rPr>
          <w:rFonts w:cstheme="minorHAnsi"/>
          <w:sz w:val="20"/>
          <w:szCs w:val="20"/>
        </w:rPr>
        <w:t>: Mapa de Interface dos Processos</w:t>
      </w:r>
    </w:p>
    <w:p w:rsidR="003E1865" w:rsidRPr="00507F62" w:rsidRDefault="003E1865" w:rsidP="00B75ADE">
      <w:pPr>
        <w:spacing w:line="360" w:lineRule="auto"/>
        <w:rPr>
          <w:rFonts w:eastAsia="Times New Roman" w:cstheme="minorHAnsi"/>
        </w:rPr>
      </w:pPr>
      <w:bookmarkStart w:id="21" w:name="_GoBack"/>
      <w:bookmarkEnd w:id="21"/>
    </w:p>
    <w:sectPr w:rsidR="003E1865" w:rsidRPr="00507F62" w:rsidSect="00042F73">
      <w:footerReference w:type="default" r:id="rId20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1BF" w:rsidRDefault="007E31BF" w:rsidP="008D2702">
      <w:r>
        <w:separator/>
      </w:r>
    </w:p>
  </w:endnote>
  <w:endnote w:type="continuationSeparator" w:id="0">
    <w:p w:rsidR="007E31BF" w:rsidRDefault="007E31BF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99" w:rsidRDefault="004F659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10C" w:rsidRPr="006E4A1B" w:rsidRDefault="00C7010C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6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11</w:t>
    </w:r>
    <w:r w:rsidRPr="006E4A1B">
      <w:rPr>
        <w:rFonts w:asciiTheme="minorHAnsi" w:hAnsiTheme="minorHAnsi"/>
        <w:sz w:val="20"/>
      </w:rPr>
      <w:fldChar w:fldCharType="end"/>
    </w:r>
  </w:p>
  <w:p w:rsidR="00C7010C" w:rsidRDefault="00C701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99" w:rsidRDefault="004F6599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4F6599" w:rsidTr="006E53DC">
      <w:trPr>
        <w:jc w:val="center"/>
      </w:trPr>
      <w:tc>
        <w:tcPr>
          <w:tcW w:w="2879" w:type="dxa"/>
        </w:tcPr>
        <w:p w:rsidR="004F6599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:rsidR="004F6599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4F6599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Alberto Santos</w:t>
          </w:r>
        </w:p>
        <w:p w:rsidR="004F6599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Assessor de Fiscalização</w:t>
          </w:r>
        </w:p>
      </w:tc>
      <w:tc>
        <w:tcPr>
          <w:tcW w:w="2879" w:type="dxa"/>
        </w:tcPr>
        <w:p w:rsidR="004F6599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:rsidR="004F6599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4F6599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Júlio Gontijo</w:t>
          </w:r>
        </w:p>
        <w:p w:rsidR="004F6599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Gerente Executivo de Contratos</w:t>
          </w:r>
        </w:p>
      </w:tc>
      <w:tc>
        <w:tcPr>
          <w:tcW w:w="2879" w:type="dxa"/>
        </w:tcPr>
        <w:p w:rsidR="004F6599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:rsidR="004F6599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4F6599" w:rsidRPr="00D57776" w:rsidRDefault="004F6599" w:rsidP="004F6599">
          <w:pPr>
            <w:pStyle w:val="Rodap"/>
            <w:rPr>
              <w:rFonts w:asciiTheme="minorHAnsi" w:hAnsiTheme="minorHAnsi"/>
              <w:sz w:val="20"/>
            </w:rPr>
          </w:pPr>
          <w:r w:rsidRPr="00D57776">
            <w:rPr>
              <w:rFonts w:asciiTheme="minorHAnsi" w:hAnsiTheme="minorHAnsi"/>
              <w:sz w:val="20"/>
            </w:rPr>
            <w:t>H</w:t>
          </w:r>
          <w:r>
            <w:rPr>
              <w:rFonts w:asciiTheme="minorHAnsi" w:hAnsiTheme="minorHAnsi"/>
              <w:sz w:val="20"/>
            </w:rPr>
            <w:t>e</w:t>
          </w:r>
          <w:r w:rsidRPr="00D57776">
            <w:rPr>
              <w:rFonts w:asciiTheme="minorHAnsi" w:hAnsiTheme="minorHAnsi"/>
              <w:sz w:val="20"/>
            </w:rPr>
            <w:t>rcules</w:t>
          </w:r>
          <w:r>
            <w:rPr>
              <w:rFonts w:asciiTheme="minorHAnsi" w:hAnsiTheme="minorHAnsi"/>
              <w:sz w:val="20"/>
            </w:rPr>
            <w:t xml:space="preserve"> Silva</w:t>
          </w:r>
        </w:p>
        <w:p w:rsidR="004F6599" w:rsidRPr="00C7010C" w:rsidRDefault="004F6599" w:rsidP="004F6599">
          <w:pPr>
            <w:pStyle w:val="Rodap"/>
            <w:rPr>
              <w:rFonts w:asciiTheme="minorHAnsi" w:hAnsiTheme="minorHAnsi"/>
              <w:b/>
              <w:sz w:val="20"/>
            </w:rPr>
          </w:pPr>
          <w:r w:rsidRPr="00D57776">
            <w:rPr>
              <w:rFonts w:asciiTheme="minorHAnsi" w:hAnsiTheme="minorHAnsi"/>
              <w:sz w:val="20"/>
            </w:rPr>
            <w:t xml:space="preserve">Diretor de </w:t>
          </w:r>
          <w:r>
            <w:rPr>
              <w:rFonts w:asciiTheme="minorHAnsi" w:hAnsiTheme="minorHAnsi"/>
              <w:sz w:val="20"/>
            </w:rPr>
            <w:t xml:space="preserve">Gestão de </w:t>
          </w:r>
          <w:r w:rsidRPr="00D57776">
            <w:rPr>
              <w:rFonts w:asciiTheme="minorHAnsi" w:hAnsiTheme="minorHAnsi"/>
              <w:sz w:val="20"/>
            </w:rPr>
            <w:t>Contrato</w:t>
          </w:r>
          <w:r>
            <w:rPr>
              <w:rFonts w:asciiTheme="minorHAnsi" w:hAnsiTheme="minorHAnsi"/>
              <w:sz w:val="20"/>
            </w:rPr>
            <w:t>s</w:t>
          </w:r>
        </w:p>
      </w:tc>
    </w:tr>
  </w:tbl>
  <w:p w:rsidR="00C2671E" w:rsidRPr="006E4A1B" w:rsidRDefault="00C2671E" w:rsidP="00C2671E">
    <w:pPr>
      <w:pStyle w:val="Rodap"/>
      <w:spacing w:before="120" w:after="120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7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11</w:t>
    </w:r>
    <w:r w:rsidRPr="006E4A1B">
      <w:rPr>
        <w:rFonts w:asciiTheme="minorHAnsi" w:hAnsiTheme="minorHAnsi"/>
        <w:sz w:val="20"/>
      </w:rPr>
      <w:fldChar w:fldCharType="end"/>
    </w:r>
  </w:p>
  <w:p w:rsidR="00C2671E" w:rsidRDefault="00C2671E">
    <w:pPr>
      <w:pStyle w:val="Rodap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80" w:rsidRPr="006E4A1B" w:rsidRDefault="00AF6280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11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196BC6">
      <w:rPr>
        <w:rFonts w:asciiTheme="minorHAnsi" w:hAnsiTheme="minorHAnsi"/>
        <w:noProof/>
        <w:sz w:val="20"/>
      </w:rPr>
      <w:t>11</w:t>
    </w:r>
    <w:r w:rsidRPr="006E4A1B">
      <w:rPr>
        <w:rFonts w:asciiTheme="minorHAnsi" w:hAnsiTheme="minorHAnsi"/>
        <w:sz w:val="20"/>
      </w:rPr>
      <w:fldChar w:fldCharType="end"/>
    </w:r>
  </w:p>
  <w:p w:rsidR="00AF6280" w:rsidRDefault="00AF628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1BF" w:rsidRDefault="007E31BF" w:rsidP="008D2702">
      <w:r>
        <w:separator/>
      </w:r>
    </w:p>
  </w:footnote>
  <w:footnote w:type="continuationSeparator" w:id="0">
    <w:p w:rsidR="007E31BF" w:rsidRDefault="007E31BF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99" w:rsidRDefault="004F659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F34D6C" w:rsidRPr="008D2702" w:rsidTr="002F111C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669AB6" wp14:editId="7F4A2D3A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10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:rsidR="00C2671E" w:rsidRDefault="00C2671E" w:rsidP="00922BB2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EE0DBC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GESTÃO DA CONTA </w:t>
          </w:r>
        </w:p>
        <w:p w:rsidR="00F34D6C" w:rsidRPr="00567994" w:rsidRDefault="00C2671E" w:rsidP="00922BB2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EE0DBC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CUSTO EM ÓLEO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6E2DF6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="00F34D6C"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:rsidR="00F34D6C" w:rsidRPr="00A37EDD" w:rsidRDefault="00EE0DBC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EE0DBC">
            <w:rPr>
              <w:rFonts w:asciiTheme="majorHAnsi" w:hAnsiTheme="majorHAnsi" w:cs="Arial"/>
              <w:sz w:val="22"/>
              <w:szCs w:val="20"/>
            </w:rPr>
            <w:t>PP.DAF.002/2017</w:t>
          </w:r>
        </w:p>
      </w:tc>
    </w:tr>
    <w:tr w:rsidR="00F34D6C" w:rsidRPr="008D2702" w:rsidTr="002F111C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F34D6C" w:rsidRPr="008D2702" w:rsidTr="002F111C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:rsidR="00F34D6C" w:rsidRDefault="00F34D6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99" w:rsidRDefault="004F659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1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1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3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EA4565"/>
    <w:multiLevelType w:val="hybridMultilevel"/>
    <w:tmpl w:val="D18EF492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54A1B37"/>
    <w:multiLevelType w:val="hybridMultilevel"/>
    <w:tmpl w:val="A9B89D98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741515E0"/>
    <w:multiLevelType w:val="hybridMultilevel"/>
    <w:tmpl w:val="E8C4377A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384FCD"/>
    <w:multiLevelType w:val="hybridMultilevel"/>
    <w:tmpl w:val="51405F7A"/>
    <w:lvl w:ilvl="0" w:tplc="04160005">
      <w:start w:val="1"/>
      <w:numFmt w:val="bullet"/>
      <w:lvlText w:val=""/>
      <w:lvlJc w:val="left"/>
      <w:pPr>
        <w:ind w:left="13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34DBC"/>
    <w:rsid w:val="00042F73"/>
    <w:rsid w:val="0005327E"/>
    <w:rsid w:val="00071C84"/>
    <w:rsid w:val="00080ACC"/>
    <w:rsid w:val="000862AF"/>
    <w:rsid w:val="00093CF6"/>
    <w:rsid w:val="000B7086"/>
    <w:rsid w:val="000C6A5A"/>
    <w:rsid w:val="00117097"/>
    <w:rsid w:val="00121D4D"/>
    <w:rsid w:val="00194178"/>
    <w:rsid w:val="00196BC6"/>
    <w:rsid w:val="001B0D58"/>
    <w:rsid w:val="001C4711"/>
    <w:rsid w:val="001D0B80"/>
    <w:rsid w:val="001D126B"/>
    <w:rsid w:val="001D5364"/>
    <w:rsid w:val="001F0D4D"/>
    <w:rsid w:val="001F3DF9"/>
    <w:rsid w:val="0022033C"/>
    <w:rsid w:val="00235BA2"/>
    <w:rsid w:val="00243A29"/>
    <w:rsid w:val="00251FFE"/>
    <w:rsid w:val="00255FA8"/>
    <w:rsid w:val="00265BEC"/>
    <w:rsid w:val="00267974"/>
    <w:rsid w:val="0027071E"/>
    <w:rsid w:val="00291BDA"/>
    <w:rsid w:val="00292F87"/>
    <w:rsid w:val="002A14B3"/>
    <w:rsid w:val="002B4556"/>
    <w:rsid w:val="002E771E"/>
    <w:rsid w:val="00305049"/>
    <w:rsid w:val="003122FC"/>
    <w:rsid w:val="0031438E"/>
    <w:rsid w:val="003174A8"/>
    <w:rsid w:val="00380D95"/>
    <w:rsid w:val="003877F1"/>
    <w:rsid w:val="003E1865"/>
    <w:rsid w:val="003E18D5"/>
    <w:rsid w:val="003E7E7F"/>
    <w:rsid w:val="00451F14"/>
    <w:rsid w:val="00473864"/>
    <w:rsid w:val="00484A4B"/>
    <w:rsid w:val="00484E91"/>
    <w:rsid w:val="004A1BE3"/>
    <w:rsid w:val="004B41E7"/>
    <w:rsid w:val="004C2060"/>
    <w:rsid w:val="004C474A"/>
    <w:rsid w:val="004F6599"/>
    <w:rsid w:val="00502A6A"/>
    <w:rsid w:val="00507F62"/>
    <w:rsid w:val="00521FC8"/>
    <w:rsid w:val="005267C2"/>
    <w:rsid w:val="00533048"/>
    <w:rsid w:val="00542DF5"/>
    <w:rsid w:val="00551FC8"/>
    <w:rsid w:val="00563267"/>
    <w:rsid w:val="00567443"/>
    <w:rsid w:val="00567994"/>
    <w:rsid w:val="00572692"/>
    <w:rsid w:val="00593256"/>
    <w:rsid w:val="005B6025"/>
    <w:rsid w:val="005E296D"/>
    <w:rsid w:val="00622F37"/>
    <w:rsid w:val="00630F7E"/>
    <w:rsid w:val="00654FE9"/>
    <w:rsid w:val="00677789"/>
    <w:rsid w:val="00691D57"/>
    <w:rsid w:val="006B0750"/>
    <w:rsid w:val="006B62A7"/>
    <w:rsid w:val="006B7BEE"/>
    <w:rsid w:val="006E2DF6"/>
    <w:rsid w:val="006E3861"/>
    <w:rsid w:val="006E4A1B"/>
    <w:rsid w:val="006F7853"/>
    <w:rsid w:val="007124B3"/>
    <w:rsid w:val="00712C75"/>
    <w:rsid w:val="007254CF"/>
    <w:rsid w:val="00743468"/>
    <w:rsid w:val="00772A7C"/>
    <w:rsid w:val="007836D0"/>
    <w:rsid w:val="007C3715"/>
    <w:rsid w:val="007E31BF"/>
    <w:rsid w:val="008114AF"/>
    <w:rsid w:val="0084759B"/>
    <w:rsid w:val="008541BF"/>
    <w:rsid w:val="0088677F"/>
    <w:rsid w:val="008A1411"/>
    <w:rsid w:val="008A6F1C"/>
    <w:rsid w:val="008D2702"/>
    <w:rsid w:val="008F1071"/>
    <w:rsid w:val="00922BB2"/>
    <w:rsid w:val="00946460"/>
    <w:rsid w:val="00951A09"/>
    <w:rsid w:val="00963B25"/>
    <w:rsid w:val="009730D3"/>
    <w:rsid w:val="009B0F6F"/>
    <w:rsid w:val="009B17BD"/>
    <w:rsid w:val="009B7F76"/>
    <w:rsid w:val="009D3B41"/>
    <w:rsid w:val="009F6898"/>
    <w:rsid w:val="00A03763"/>
    <w:rsid w:val="00A1094A"/>
    <w:rsid w:val="00A22989"/>
    <w:rsid w:val="00A348CD"/>
    <w:rsid w:val="00A37EDD"/>
    <w:rsid w:val="00A44B4B"/>
    <w:rsid w:val="00A46B91"/>
    <w:rsid w:val="00A966FB"/>
    <w:rsid w:val="00AB1C87"/>
    <w:rsid w:val="00AC571B"/>
    <w:rsid w:val="00AE337E"/>
    <w:rsid w:val="00AF6280"/>
    <w:rsid w:val="00AF64B1"/>
    <w:rsid w:val="00B1433F"/>
    <w:rsid w:val="00B20B58"/>
    <w:rsid w:val="00B22691"/>
    <w:rsid w:val="00B32BDD"/>
    <w:rsid w:val="00B33CE9"/>
    <w:rsid w:val="00B616DC"/>
    <w:rsid w:val="00B75ADE"/>
    <w:rsid w:val="00B82535"/>
    <w:rsid w:val="00B91B6D"/>
    <w:rsid w:val="00B95FD3"/>
    <w:rsid w:val="00BA5A69"/>
    <w:rsid w:val="00BB4BA9"/>
    <w:rsid w:val="00BE6808"/>
    <w:rsid w:val="00BF19A0"/>
    <w:rsid w:val="00C22652"/>
    <w:rsid w:val="00C2671E"/>
    <w:rsid w:val="00C45B97"/>
    <w:rsid w:val="00C56D8F"/>
    <w:rsid w:val="00C64867"/>
    <w:rsid w:val="00C7010C"/>
    <w:rsid w:val="00C9324D"/>
    <w:rsid w:val="00CA0128"/>
    <w:rsid w:val="00CC34E5"/>
    <w:rsid w:val="00CC3566"/>
    <w:rsid w:val="00CC797A"/>
    <w:rsid w:val="00CE6C54"/>
    <w:rsid w:val="00CE777C"/>
    <w:rsid w:val="00CF10F5"/>
    <w:rsid w:val="00D22138"/>
    <w:rsid w:val="00D25291"/>
    <w:rsid w:val="00D4367B"/>
    <w:rsid w:val="00D46872"/>
    <w:rsid w:val="00D547C3"/>
    <w:rsid w:val="00D86A59"/>
    <w:rsid w:val="00D91476"/>
    <w:rsid w:val="00DA0EAE"/>
    <w:rsid w:val="00DE4573"/>
    <w:rsid w:val="00DF215C"/>
    <w:rsid w:val="00E25F81"/>
    <w:rsid w:val="00E325E5"/>
    <w:rsid w:val="00E52D91"/>
    <w:rsid w:val="00E84203"/>
    <w:rsid w:val="00E92425"/>
    <w:rsid w:val="00E952B6"/>
    <w:rsid w:val="00EA647E"/>
    <w:rsid w:val="00EB2DA3"/>
    <w:rsid w:val="00EB760D"/>
    <w:rsid w:val="00EE088A"/>
    <w:rsid w:val="00EE0DBC"/>
    <w:rsid w:val="00F00E03"/>
    <w:rsid w:val="00F114B3"/>
    <w:rsid w:val="00F1419F"/>
    <w:rsid w:val="00F34D6C"/>
    <w:rsid w:val="00F3537A"/>
    <w:rsid w:val="00F40719"/>
    <w:rsid w:val="00F43A06"/>
    <w:rsid w:val="00F47E29"/>
    <w:rsid w:val="00F7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ind w:left="2126" w:hanging="686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21FA-5A27-4A79-B131-BAB7AF40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8995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5</cp:revision>
  <cp:lastPrinted>2017-06-23T18:14:00Z</cp:lastPrinted>
  <dcterms:created xsi:type="dcterms:W3CDTF">2017-09-15T14:44:00Z</dcterms:created>
  <dcterms:modified xsi:type="dcterms:W3CDTF">2018-02-07T16:15:00Z</dcterms:modified>
</cp:coreProperties>
</file>