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B2" w:rsidRPr="00193D0A" w:rsidRDefault="00922BB2" w:rsidP="00193D0A">
      <w:pPr>
        <w:rPr>
          <w:rFonts w:asciiTheme="minorHAnsi" w:hAnsiTheme="minorHAnsi" w:cstheme="minorHAnsi"/>
          <w:b/>
          <w:sz w:val="22"/>
          <w:szCs w:val="22"/>
          <w:lang w:eastAsia="en-US"/>
        </w:rPr>
      </w:pPr>
      <w:r w:rsidRPr="00193D0A">
        <w:rPr>
          <w:rFonts w:asciiTheme="minorHAnsi" w:hAnsiTheme="minorHAnsi" w:cstheme="minorHAnsi"/>
          <w:b/>
          <w:sz w:val="22"/>
          <w:szCs w:val="22"/>
          <w:lang w:eastAsia="en-US"/>
        </w:rPr>
        <w:t>SUMÁRIO</w:t>
      </w:r>
    </w:p>
    <w:sdt>
      <w:sdtPr>
        <w:rPr>
          <w:rFonts w:asciiTheme="minorHAnsi" w:eastAsiaTheme="minorHAnsi" w:hAnsiTheme="minorHAnsi" w:cstheme="minorHAnsi"/>
          <w:b w:val="0"/>
          <w:bCs w:val="0"/>
          <w:color w:val="auto"/>
          <w:sz w:val="24"/>
          <w:szCs w:val="24"/>
        </w:rPr>
        <w:id w:val="-1745953559"/>
        <w:docPartObj>
          <w:docPartGallery w:val="Table of Contents"/>
          <w:docPartUnique/>
        </w:docPartObj>
      </w:sdtPr>
      <w:sdtEndPr>
        <w:rPr>
          <w:noProof/>
        </w:rPr>
      </w:sdtEndPr>
      <w:sdtContent>
        <w:p w:rsidR="004C2060" w:rsidRPr="000004C3" w:rsidRDefault="004C2060" w:rsidP="00193D0A">
          <w:pPr>
            <w:pStyle w:val="CabealhodoSumrio"/>
            <w:spacing w:before="0"/>
            <w:rPr>
              <w:rFonts w:asciiTheme="minorHAnsi" w:hAnsiTheme="minorHAnsi" w:cstheme="minorHAnsi"/>
              <w:b w:val="0"/>
            </w:rPr>
          </w:pPr>
        </w:p>
        <w:p w:rsidR="000004C3" w:rsidRPr="000004C3" w:rsidRDefault="004C2060">
          <w:pPr>
            <w:pStyle w:val="Sumrio1"/>
            <w:tabs>
              <w:tab w:val="left" w:pos="440"/>
              <w:tab w:val="right" w:leader="dot" w:pos="9736"/>
            </w:tabs>
            <w:rPr>
              <w:rFonts w:eastAsiaTheme="minorEastAsia"/>
              <w:noProof/>
              <w:lang w:eastAsia="pt-BR"/>
            </w:rPr>
          </w:pPr>
          <w:r w:rsidRPr="000004C3">
            <w:rPr>
              <w:rFonts w:cstheme="minorHAnsi"/>
            </w:rPr>
            <w:fldChar w:fldCharType="begin"/>
          </w:r>
          <w:r w:rsidRPr="000004C3">
            <w:rPr>
              <w:rFonts w:cstheme="minorHAnsi"/>
            </w:rPr>
            <w:instrText xml:space="preserve"> TOC \o "1-3" \h \z \u </w:instrText>
          </w:r>
          <w:r w:rsidRPr="000004C3">
            <w:rPr>
              <w:rFonts w:cstheme="minorHAnsi"/>
            </w:rPr>
            <w:fldChar w:fldCharType="separate"/>
          </w:r>
          <w:hyperlink w:anchor="_Toc492825304" w:history="1">
            <w:r w:rsidR="000004C3" w:rsidRPr="000004C3">
              <w:rPr>
                <w:rStyle w:val="Hyperlink"/>
                <w:noProof/>
              </w:rPr>
              <w:t>1.</w:t>
            </w:r>
            <w:r w:rsidR="000004C3" w:rsidRPr="000004C3">
              <w:rPr>
                <w:rFonts w:eastAsiaTheme="minorEastAsia"/>
                <w:noProof/>
                <w:lang w:eastAsia="pt-BR"/>
              </w:rPr>
              <w:tab/>
            </w:r>
            <w:r w:rsidR="000004C3" w:rsidRPr="000004C3">
              <w:rPr>
                <w:rStyle w:val="Hyperlink"/>
                <w:noProof/>
              </w:rPr>
              <w:t>Objetivo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_Toc492825304 \h </w:instrText>
            </w:r>
            <w:r w:rsidR="000004C3" w:rsidRPr="000004C3">
              <w:rPr>
                <w:noProof/>
                <w:webHidden/>
              </w:rPr>
            </w:r>
            <w:r w:rsidR="000004C3" w:rsidRPr="000004C3">
              <w:rPr>
                <w:noProof/>
                <w:webHidden/>
              </w:rPr>
              <w:fldChar w:fldCharType="separate"/>
            </w:r>
            <w:r w:rsidR="000004C3" w:rsidRPr="000004C3">
              <w:rPr>
                <w:noProof/>
                <w:webHidden/>
              </w:rPr>
              <w:t>- 2 -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05" w:history="1">
            <w:r w:rsidR="000004C3" w:rsidRPr="000004C3">
              <w:rPr>
                <w:rStyle w:val="Hyperlink"/>
                <w:noProof/>
              </w:rPr>
              <w:t>2.</w:t>
            </w:r>
            <w:r w:rsidR="000004C3" w:rsidRPr="000004C3">
              <w:rPr>
                <w:rFonts w:eastAsiaTheme="minorEastAsia"/>
                <w:noProof/>
                <w:lang w:eastAsia="pt-BR"/>
              </w:rPr>
              <w:tab/>
            </w:r>
            <w:r w:rsidR="000004C3" w:rsidRPr="000004C3">
              <w:rPr>
                <w:rStyle w:val="Hyperlink"/>
                <w:noProof/>
              </w:rPr>
              <w:t>Aplicação e Abrangência</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_Toc492825305 \h </w:instrText>
            </w:r>
            <w:r w:rsidR="000004C3" w:rsidRPr="000004C3">
              <w:rPr>
                <w:noProof/>
                <w:webHidden/>
              </w:rPr>
            </w:r>
            <w:r w:rsidR="000004C3" w:rsidRPr="000004C3">
              <w:rPr>
                <w:noProof/>
                <w:webHidden/>
              </w:rPr>
              <w:fldChar w:fldCharType="separate"/>
            </w:r>
            <w:r w:rsidR="000004C3" w:rsidRPr="000004C3">
              <w:rPr>
                <w:noProof/>
                <w:webHidden/>
              </w:rPr>
              <w:t>- 2 -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06" w:history="1">
            <w:r w:rsidR="000004C3" w:rsidRPr="000004C3">
              <w:rPr>
                <w:rStyle w:val="Hyperlink"/>
                <w:noProof/>
              </w:rPr>
              <w:t>3.</w:t>
            </w:r>
            <w:r w:rsidR="000004C3" w:rsidRPr="000004C3">
              <w:rPr>
                <w:rFonts w:eastAsiaTheme="minorEastAsia"/>
                <w:noProof/>
                <w:lang w:eastAsia="pt-BR"/>
              </w:rPr>
              <w:tab/>
            </w:r>
            <w:r w:rsidR="000004C3" w:rsidRPr="000004C3">
              <w:rPr>
                <w:rStyle w:val="Hyperlink"/>
                <w:noProof/>
              </w:rPr>
              <w:t>Documentos de Referência e Complementares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_Toc492825306 \h </w:instrText>
            </w:r>
            <w:r w:rsidR="000004C3" w:rsidRPr="000004C3">
              <w:rPr>
                <w:noProof/>
                <w:webHidden/>
              </w:rPr>
            </w:r>
            <w:r w:rsidR="000004C3" w:rsidRPr="000004C3">
              <w:rPr>
                <w:noProof/>
                <w:webHidden/>
              </w:rPr>
              <w:fldChar w:fldCharType="separate"/>
            </w:r>
            <w:r w:rsidR="000004C3" w:rsidRPr="000004C3">
              <w:rPr>
                <w:noProof/>
                <w:webHidden/>
              </w:rPr>
              <w:t>- 2 -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07" w:history="1">
            <w:r w:rsidR="000004C3" w:rsidRPr="000004C3">
              <w:rPr>
                <w:rStyle w:val="Hyperlink"/>
                <w:noProof/>
              </w:rPr>
              <w:t>4.</w:t>
            </w:r>
            <w:r w:rsidR="000004C3" w:rsidRPr="000004C3">
              <w:rPr>
                <w:rFonts w:eastAsiaTheme="minorEastAsia"/>
                <w:noProof/>
                <w:lang w:eastAsia="pt-BR"/>
              </w:rPr>
              <w:tab/>
            </w:r>
            <w:r w:rsidR="000004C3" w:rsidRPr="000004C3">
              <w:rPr>
                <w:rStyle w:val="Hyperlink"/>
                <w:noProof/>
              </w:rPr>
              <w:t>Definições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_Toc492825307 \h </w:instrText>
            </w:r>
            <w:r w:rsidR="000004C3" w:rsidRPr="000004C3">
              <w:rPr>
                <w:noProof/>
                <w:webHidden/>
              </w:rPr>
            </w:r>
            <w:r w:rsidR="000004C3" w:rsidRPr="000004C3">
              <w:rPr>
                <w:noProof/>
                <w:webHidden/>
              </w:rPr>
              <w:fldChar w:fldCharType="separate"/>
            </w:r>
            <w:r w:rsidR="000004C3" w:rsidRPr="000004C3">
              <w:rPr>
                <w:noProof/>
                <w:webHidden/>
              </w:rPr>
              <w:t>- 3 -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08" w:history="1">
            <w:r w:rsidR="000004C3" w:rsidRPr="000004C3">
              <w:rPr>
                <w:rStyle w:val="Hyperlink"/>
                <w:noProof/>
              </w:rPr>
              <w:t>5.</w:t>
            </w:r>
            <w:r w:rsidR="000004C3" w:rsidRPr="000004C3">
              <w:rPr>
                <w:rFonts w:eastAsiaTheme="minorEastAsia"/>
                <w:noProof/>
                <w:lang w:eastAsia="pt-BR"/>
              </w:rPr>
              <w:tab/>
            </w:r>
            <w:r w:rsidR="000004C3" w:rsidRPr="000004C3">
              <w:rPr>
                <w:rStyle w:val="Hyperlink"/>
                <w:noProof/>
              </w:rPr>
              <w:t>Autoridade e Competências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_Toc492825308 \h </w:instrText>
            </w:r>
            <w:r w:rsidR="000004C3" w:rsidRPr="000004C3">
              <w:rPr>
                <w:noProof/>
                <w:webHidden/>
              </w:rPr>
            </w:r>
            <w:r w:rsidR="000004C3" w:rsidRPr="000004C3">
              <w:rPr>
                <w:noProof/>
                <w:webHidden/>
              </w:rPr>
              <w:fldChar w:fldCharType="separate"/>
            </w:r>
            <w:r w:rsidR="000004C3" w:rsidRPr="000004C3">
              <w:rPr>
                <w:noProof/>
                <w:webHidden/>
              </w:rPr>
              <w:t>- 5 -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09" w:history="1">
            <w:r w:rsidR="000004C3" w:rsidRPr="000004C3">
              <w:rPr>
                <w:rStyle w:val="Hyperlink"/>
                <w:noProof/>
              </w:rPr>
              <w:t>6.</w:t>
            </w:r>
            <w:r w:rsidR="000004C3" w:rsidRPr="000004C3">
              <w:rPr>
                <w:rFonts w:eastAsiaTheme="minorEastAsia"/>
                <w:noProof/>
                <w:lang w:eastAsia="pt-BR"/>
              </w:rPr>
              <w:tab/>
            </w:r>
            <w:r w:rsidR="000004C3" w:rsidRPr="000004C3">
              <w:rPr>
                <w:rStyle w:val="Hyperlink"/>
                <w:noProof/>
              </w:rPr>
              <w:t>Descrição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_Toc492825309 \h </w:instrText>
            </w:r>
            <w:r w:rsidR="000004C3" w:rsidRPr="000004C3">
              <w:rPr>
                <w:noProof/>
                <w:webHidden/>
              </w:rPr>
            </w:r>
            <w:r w:rsidR="000004C3" w:rsidRPr="000004C3">
              <w:rPr>
                <w:noProof/>
                <w:webHidden/>
              </w:rPr>
              <w:fldChar w:fldCharType="separate"/>
            </w:r>
            <w:r w:rsidR="000004C3" w:rsidRPr="000004C3">
              <w:rPr>
                <w:noProof/>
                <w:webHidden/>
              </w:rPr>
              <w:t>- 6 -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0" w:history="1">
            <w:r w:rsidR="000004C3" w:rsidRPr="000004C3">
              <w:rPr>
                <w:rStyle w:val="Hyperlink"/>
                <w:noProof/>
              </w:rPr>
              <w:t>6.1.</w:t>
            </w:r>
            <w:r w:rsidR="000004C3" w:rsidRPr="000004C3">
              <w:rPr>
                <w:rFonts w:cstheme="minorBidi"/>
                <w:noProof/>
                <w:lang w:val="pt-BR" w:eastAsia="pt-BR"/>
              </w:rPr>
              <w:tab/>
            </w:r>
            <w:r w:rsidR="000004C3" w:rsidRPr="000004C3">
              <w:rPr>
                <w:rStyle w:val="Hyperlink"/>
                <w:noProof/>
              </w:rPr>
              <w:t>Descrição Geral do Processo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_Toc492825310 \h </w:instrText>
            </w:r>
            <w:r w:rsidR="000004C3" w:rsidRPr="000004C3">
              <w:rPr>
                <w:noProof/>
                <w:webHidden/>
              </w:rPr>
            </w:r>
            <w:r w:rsidR="000004C3" w:rsidRPr="000004C3">
              <w:rPr>
                <w:noProof/>
                <w:webHidden/>
              </w:rPr>
              <w:fldChar w:fldCharType="separate"/>
            </w:r>
            <w:r w:rsidR="000004C3" w:rsidRPr="000004C3">
              <w:rPr>
                <w:noProof/>
                <w:webHidden/>
              </w:rPr>
              <w:t>- 6 -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1" w:history="1">
            <w:r w:rsidR="000004C3" w:rsidRPr="000004C3">
              <w:rPr>
                <w:rStyle w:val="Hyperlink"/>
                <w:noProof/>
              </w:rPr>
              <w:t>6.2.</w:t>
            </w:r>
            <w:r w:rsidR="000004C3" w:rsidRPr="000004C3">
              <w:rPr>
                <w:rFonts w:cstheme="minorBidi"/>
                <w:noProof/>
                <w:lang w:val="pt-BR" w:eastAsia="pt-BR"/>
              </w:rPr>
              <w:tab/>
            </w:r>
            <w:r w:rsidR="000004C3" w:rsidRPr="000004C3">
              <w:rPr>
                <w:rStyle w:val="Hyperlink"/>
                <w:noProof/>
              </w:rPr>
              <w:t>Validações e Cálculos do SGPP</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_Toc492825311 \h </w:instrText>
            </w:r>
            <w:r w:rsidR="000004C3" w:rsidRPr="000004C3">
              <w:rPr>
                <w:noProof/>
                <w:webHidden/>
              </w:rPr>
            </w:r>
            <w:r w:rsidR="000004C3" w:rsidRPr="000004C3">
              <w:rPr>
                <w:noProof/>
                <w:webHidden/>
              </w:rPr>
              <w:fldChar w:fldCharType="separate"/>
            </w:r>
            <w:r w:rsidR="000004C3" w:rsidRPr="000004C3">
              <w:rPr>
                <w:noProof/>
                <w:webHidden/>
              </w:rPr>
              <w:t>- 7 -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2" w:history="1">
            <w:r w:rsidR="000004C3" w:rsidRPr="000004C3">
              <w:rPr>
                <w:rStyle w:val="Hyperlink"/>
                <w:noProof/>
              </w:rPr>
              <w:t>6.3.</w:t>
            </w:r>
            <w:r w:rsidR="000004C3" w:rsidRPr="000004C3">
              <w:rPr>
                <w:rFonts w:cstheme="minorBidi"/>
                <w:noProof/>
                <w:lang w:val="pt-BR" w:eastAsia="pt-BR"/>
              </w:rPr>
              <w:tab/>
            </w:r>
            <w:r w:rsidR="000004C3" w:rsidRPr="000004C3">
              <w:rPr>
                <w:rStyle w:val="Hyperlink"/>
                <w:noProof/>
              </w:rPr>
              <w:t>Procedimento de Contratação do AC</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_Toc492825312 \h </w:instrText>
            </w:r>
            <w:r w:rsidR="000004C3" w:rsidRPr="000004C3">
              <w:rPr>
                <w:noProof/>
                <w:webHidden/>
              </w:rPr>
            </w:r>
            <w:r w:rsidR="000004C3" w:rsidRPr="000004C3">
              <w:rPr>
                <w:noProof/>
                <w:webHidden/>
              </w:rPr>
              <w:fldChar w:fldCharType="separate"/>
            </w:r>
            <w:r w:rsidR="000004C3" w:rsidRPr="000004C3">
              <w:rPr>
                <w:noProof/>
                <w:webHidden/>
              </w:rPr>
              <w:t>- 8 -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3" w:history="1">
            <w:r w:rsidR="000004C3" w:rsidRPr="000004C3">
              <w:rPr>
                <w:rStyle w:val="Hyperlink"/>
                <w:noProof/>
              </w:rPr>
              <w:t>6.4.</w:t>
            </w:r>
            <w:r w:rsidR="000004C3" w:rsidRPr="000004C3">
              <w:rPr>
                <w:rFonts w:cstheme="minorBidi"/>
                <w:noProof/>
                <w:lang w:val="pt-BR" w:eastAsia="pt-BR"/>
              </w:rPr>
              <w:tab/>
            </w:r>
            <w:r w:rsidR="000004C3" w:rsidRPr="000004C3">
              <w:rPr>
                <w:rStyle w:val="Hyperlink"/>
                <w:noProof/>
              </w:rPr>
              <w:t>Procedimento de Gestão dos Contratos para Comercialização do Petróleo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_Toc492825313 \h </w:instrText>
            </w:r>
            <w:r w:rsidR="000004C3" w:rsidRPr="000004C3">
              <w:rPr>
                <w:noProof/>
                <w:webHidden/>
              </w:rPr>
            </w:r>
            <w:r w:rsidR="000004C3" w:rsidRPr="000004C3">
              <w:rPr>
                <w:noProof/>
                <w:webHidden/>
              </w:rPr>
              <w:fldChar w:fldCharType="separate"/>
            </w:r>
            <w:r w:rsidR="000004C3" w:rsidRPr="000004C3">
              <w:rPr>
                <w:noProof/>
                <w:webHidden/>
              </w:rPr>
              <w:t>- 10 -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4" w:history="1">
            <w:r w:rsidR="000004C3" w:rsidRPr="000004C3">
              <w:rPr>
                <w:rStyle w:val="Hyperlink"/>
                <w:noProof/>
              </w:rPr>
              <w:t>6.5.</w:t>
            </w:r>
            <w:r w:rsidR="000004C3" w:rsidRPr="000004C3">
              <w:rPr>
                <w:rFonts w:cstheme="minorBidi"/>
                <w:noProof/>
                <w:lang w:val="pt-BR" w:eastAsia="pt-BR"/>
              </w:rPr>
              <w:tab/>
            </w:r>
            <w:r w:rsidR="000004C3" w:rsidRPr="000004C3">
              <w:rPr>
                <w:rStyle w:val="Hyperlink"/>
                <w:noProof/>
              </w:rPr>
              <w:t>Monitoramento do Processo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_Toc492825314 \h </w:instrText>
            </w:r>
            <w:r w:rsidR="000004C3" w:rsidRPr="000004C3">
              <w:rPr>
                <w:noProof/>
                <w:webHidden/>
              </w:rPr>
            </w:r>
            <w:r w:rsidR="000004C3" w:rsidRPr="000004C3">
              <w:rPr>
                <w:noProof/>
                <w:webHidden/>
              </w:rPr>
              <w:fldChar w:fldCharType="separate"/>
            </w:r>
            <w:r w:rsidR="000004C3" w:rsidRPr="000004C3">
              <w:rPr>
                <w:noProof/>
                <w:webHidden/>
              </w:rPr>
              <w:t>- 17 -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5" w:history="1">
            <w:r w:rsidR="000004C3" w:rsidRPr="000004C3">
              <w:rPr>
                <w:rStyle w:val="Hyperlink"/>
                <w:noProof/>
              </w:rPr>
              <w:t>6.6.</w:t>
            </w:r>
            <w:r w:rsidR="000004C3" w:rsidRPr="000004C3">
              <w:rPr>
                <w:rFonts w:cstheme="minorBidi"/>
                <w:noProof/>
                <w:lang w:val="pt-BR" w:eastAsia="pt-BR"/>
              </w:rPr>
              <w:tab/>
            </w:r>
            <w:r w:rsidR="000004C3" w:rsidRPr="000004C3">
              <w:rPr>
                <w:rStyle w:val="Hyperlink"/>
                <w:noProof/>
              </w:rPr>
              <w:t>Prazos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_Toc492825315 \h </w:instrText>
            </w:r>
            <w:r w:rsidR="000004C3" w:rsidRPr="000004C3">
              <w:rPr>
                <w:noProof/>
                <w:webHidden/>
              </w:rPr>
            </w:r>
            <w:r w:rsidR="000004C3" w:rsidRPr="000004C3">
              <w:rPr>
                <w:noProof/>
                <w:webHidden/>
              </w:rPr>
              <w:fldChar w:fldCharType="separate"/>
            </w:r>
            <w:r w:rsidR="000004C3" w:rsidRPr="000004C3">
              <w:rPr>
                <w:noProof/>
                <w:webHidden/>
              </w:rPr>
              <w:t>- 18 -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16" w:history="1">
            <w:r w:rsidR="000004C3" w:rsidRPr="000004C3">
              <w:rPr>
                <w:rStyle w:val="Hyperlink"/>
                <w:noProof/>
              </w:rPr>
              <w:t>7.</w:t>
            </w:r>
            <w:r w:rsidR="000004C3" w:rsidRPr="000004C3">
              <w:rPr>
                <w:rFonts w:eastAsiaTheme="minorEastAsia"/>
                <w:noProof/>
                <w:lang w:eastAsia="pt-BR"/>
              </w:rPr>
              <w:tab/>
            </w:r>
            <w:r w:rsidR="000004C3" w:rsidRPr="000004C3">
              <w:rPr>
                <w:rStyle w:val="Hyperlink"/>
                <w:noProof/>
              </w:rPr>
              <w:t>Índice de Revisões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_Toc492825316 \h </w:instrText>
            </w:r>
            <w:r w:rsidR="000004C3" w:rsidRPr="000004C3">
              <w:rPr>
                <w:noProof/>
                <w:webHidden/>
              </w:rPr>
            </w:r>
            <w:r w:rsidR="000004C3" w:rsidRPr="000004C3">
              <w:rPr>
                <w:noProof/>
                <w:webHidden/>
              </w:rPr>
              <w:fldChar w:fldCharType="separate"/>
            </w:r>
            <w:r w:rsidR="000004C3" w:rsidRPr="000004C3">
              <w:rPr>
                <w:noProof/>
                <w:webHidden/>
              </w:rPr>
              <w:t>- 20 -</w:t>
            </w:r>
            <w:r w:rsidR="000004C3" w:rsidRPr="000004C3">
              <w:rPr>
                <w:noProof/>
                <w:webHidden/>
              </w:rPr>
              <w:fldChar w:fldCharType="end"/>
            </w:r>
          </w:hyperlink>
        </w:p>
        <w:p w:rsidR="000004C3" w:rsidRPr="000004C3" w:rsidRDefault="002C7385">
          <w:pPr>
            <w:pStyle w:val="Sumrio1"/>
            <w:tabs>
              <w:tab w:val="left" w:pos="440"/>
              <w:tab w:val="right" w:leader="dot" w:pos="9736"/>
            </w:tabs>
            <w:rPr>
              <w:rFonts w:eastAsiaTheme="minorEastAsia"/>
              <w:noProof/>
              <w:lang w:eastAsia="pt-BR"/>
            </w:rPr>
          </w:pPr>
          <w:hyperlink w:anchor="_Toc492825317" w:history="1">
            <w:r w:rsidR="000004C3" w:rsidRPr="000004C3">
              <w:rPr>
                <w:rStyle w:val="Hyperlink"/>
                <w:noProof/>
              </w:rPr>
              <w:t>8.</w:t>
            </w:r>
            <w:r w:rsidR="000004C3" w:rsidRPr="000004C3">
              <w:rPr>
                <w:rFonts w:eastAsiaTheme="minorEastAsia"/>
                <w:noProof/>
                <w:lang w:eastAsia="pt-BR"/>
              </w:rPr>
              <w:tab/>
            </w:r>
            <w:r w:rsidR="000004C3" w:rsidRPr="000004C3">
              <w:rPr>
                <w:rStyle w:val="Hyperlink"/>
                <w:noProof/>
              </w:rPr>
              <w:t>Anexos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_Toc492825317 \h </w:instrText>
            </w:r>
            <w:r w:rsidR="000004C3" w:rsidRPr="000004C3">
              <w:rPr>
                <w:noProof/>
                <w:webHidden/>
              </w:rPr>
            </w:r>
            <w:r w:rsidR="000004C3" w:rsidRPr="000004C3">
              <w:rPr>
                <w:noProof/>
                <w:webHidden/>
              </w:rPr>
              <w:fldChar w:fldCharType="separate"/>
            </w:r>
            <w:r w:rsidR="000004C3" w:rsidRPr="000004C3">
              <w:rPr>
                <w:noProof/>
                <w:webHidden/>
              </w:rPr>
              <w:t>- 21 -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8" w:history="1">
            <w:r w:rsidR="000004C3" w:rsidRPr="000004C3">
              <w:rPr>
                <w:rStyle w:val="Hyperlink"/>
                <w:noProof/>
              </w:rPr>
              <w:t>8.1.</w:t>
            </w:r>
            <w:r w:rsidR="000004C3" w:rsidRPr="000004C3">
              <w:rPr>
                <w:rFonts w:cstheme="minorBidi"/>
                <w:noProof/>
                <w:lang w:val="pt-BR" w:eastAsia="pt-BR"/>
              </w:rPr>
              <w:tab/>
            </w:r>
            <w:r w:rsidR="000004C3" w:rsidRPr="000004C3">
              <w:rPr>
                <w:rStyle w:val="Hyperlink"/>
                <w:noProof/>
              </w:rPr>
              <w:t>Anexo I - Padrão de Processo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_Toc492825318 \h </w:instrText>
            </w:r>
            <w:r w:rsidR="000004C3" w:rsidRPr="000004C3">
              <w:rPr>
                <w:noProof/>
                <w:webHidden/>
              </w:rPr>
            </w:r>
            <w:r w:rsidR="000004C3" w:rsidRPr="000004C3">
              <w:rPr>
                <w:noProof/>
                <w:webHidden/>
              </w:rPr>
              <w:fldChar w:fldCharType="separate"/>
            </w:r>
            <w:r w:rsidR="000004C3" w:rsidRPr="000004C3">
              <w:rPr>
                <w:noProof/>
                <w:webHidden/>
              </w:rPr>
              <w:t>- 21 -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19" w:history="1">
            <w:r w:rsidR="000004C3" w:rsidRPr="000004C3">
              <w:rPr>
                <w:rStyle w:val="Hyperlink"/>
                <w:noProof/>
              </w:rPr>
              <w:t>8.2.</w:t>
            </w:r>
            <w:r w:rsidR="000004C3" w:rsidRPr="000004C3">
              <w:rPr>
                <w:rFonts w:cstheme="minorBidi"/>
                <w:noProof/>
                <w:lang w:val="pt-BR" w:eastAsia="pt-BR"/>
              </w:rPr>
              <w:tab/>
            </w:r>
            <w:r w:rsidR="000004C3" w:rsidRPr="000004C3">
              <w:rPr>
                <w:rStyle w:val="Hyperlink"/>
                <w:noProof/>
              </w:rPr>
              <w:t>Anexo II - Matriz de Papéis e Responsabilidades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_Toc492825319 \h </w:instrText>
            </w:r>
            <w:r w:rsidR="000004C3" w:rsidRPr="000004C3">
              <w:rPr>
                <w:noProof/>
                <w:webHidden/>
              </w:rPr>
            </w:r>
            <w:r w:rsidR="000004C3" w:rsidRPr="000004C3">
              <w:rPr>
                <w:noProof/>
                <w:webHidden/>
              </w:rPr>
              <w:fldChar w:fldCharType="separate"/>
            </w:r>
            <w:r w:rsidR="000004C3" w:rsidRPr="000004C3">
              <w:rPr>
                <w:noProof/>
                <w:webHidden/>
              </w:rPr>
              <w:t>- 23 -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20" w:history="1">
            <w:r w:rsidR="000004C3" w:rsidRPr="000004C3">
              <w:rPr>
                <w:rStyle w:val="Hyperlink"/>
                <w:noProof/>
              </w:rPr>
              <w:t>8.3.</w:t>
            </w:r>
            <w:r w:rsidR="000004C3" w:rsidRPr="000004C3">
              <w:rPr>
                <w:rFonts w:cstheme="minorBidi"/>
                <w:noProof/>
                <w:lang w:val="pt-BR" w:eastAsia="pt-BR"/>
              </w:rPr>
              <w:tab/>
            </w:r>
            <w:r w:rsidR="000004C3" w:rsidRPr="000004C3">
              <w:rPr>
                <w:rStyle w:val="Hyperlink"/>
                <w:noProof/>
              </w:rPr>
              <w:t>Anexo III - Indicadores de Performance do Processo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_Toc492825320 \h </w:instrText>
            </w:r>
            <w:r w:rsidR="000004C3" w:rsidRPr="000004C3">
              <w:rPr>
                <w:noProof/>
                <w:webHidden/>
              </w:rPr>
            </w:r>
            <w:r w:rsidR="000004C3" w:rsidRPr="000004C3">
              <w:rPr>
                <w:noProof/>
                <w:webHidden/>
              </w:rPr>
              <w:fldChar w:fldCharType="separate"/>
            </w:r>
            <w:r w:rsidR="000004C3" w:rsidRPr="000004C3">
              <w:rPr>
                <w:noProof/>
                <w:webHidden/>
              </w:rPr>
              <w:t>- 25 -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21" w:history="1">
            <w:r w:rsidR="000004C3" w:rsidRPr="000004C3">
              <w:rPr>
                <w:rStyle w:val="Hyperlink"/>
                <w:noProof/>
              </w:rPr>
              <w:t>8.4.</w:t>
            </w:r>
            <w:r w:rsidR="000004C3" w:rsidRPr="000004C3">
              <w:rPr>
                <w:rFonts w:cstheme="minorBidi"/>
                <w:noProof/>
                <w:lang w:val="pt-BR" w:eastAsia="pt-BR"/>
              </w:rPr>
              <w:tab/>
            </w:r>
            <w:r w:rsidR="000004C3" w:rsidRPr="000004C3">
              <w:rPr>
                <w:rStyle w:val="Hyperlink"/>
                <w:noProof/>
              </w:rPr>
              <w:t>Anexo IV - Mapa de Interface dos Processos</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_Toc492825321 \h </w:instrText>
            </w:r>
            <w:r w:rsidR="000004C3" w:rsidRPr="000004C3">
              <w:rPr>
                <w:noProof/>
                <w:webHidden/>
              </w:rPr>
            </w:r>
            <w:r w:rsidR="000004C3" w:rsidRPr="000004C3">
              <w:rPr>
                <w:noProof/>
                <w:webHidden/>
              </w:rPr>
              <w:fldChar w:fldCharType="separate"/>
            </w:r>
            <w:r w:rsidR="000004C3" w:rsidRPr="000004C3">
              <w:rPr>
                <w:noProof/>
                <w:webHidden/>
              </w:rPr>
              <w:t>- 26 -</w:t>
            </w:r>
            <w:r w:rsidR="000004C3" w:rsidRPr="000004C3">
              <w:rPr>
                <w:noProof/>
                <w:webHidden/>
              </w:rPr>
              <w:fldChar w:fldCharType="end"/>
            </w:r>
          </w:hyperlink>
        </w:p>
        <w:p w:rsidR="000004C3" w:rsidRPr="000004C3" w:rsidRDefault="002C7385">
          <w:pPr>
            <w:pStyle w:val="Sumrio2"/>
            <w:tabs>
              <w:tab w:val="left" w:pos="880"/>
              <w:tab w:val="right" w:leader="dot" w:pos="9736"/>
            </w:tabs>
            <w:rPr>
              <w:rFonts w:cstheme="minorBidi"/>
              <w:noProof/>
              <w:lang w:val="pt-BR" w:eastAsia="pt-BR"/>
            </w:rPr>
          </w:pPr>
          <w:hyperlink w:anchor="_Toc492825322" w:history="1">
            <w:r w:rsidR="000004C3" w:rsidRPr="000004C3">
              <w:rPr>
                <w:rStyle w:val="Hyperlink"/>
                <w:noProof/>
              </w:rPr>
              <w:t>8.5.</w:t>
            </w:r>
            <w:r w:rsidR="000004C3" w:rsidRPr="000004C3">
              <w:rPr>
                <w:rFonts w:cstheme="minorBidi"/>
                <w:noProof/>
                <w:lang w:val="pt-BR" w:eastAsia="pt-BR"/>
              </w:rPr>
              <w:tab/>
            </w:r>
            <w:r w:rsidR="000004C3" w:rsidRPr="000004C3">
              <w:rPr>
                <w:rStyle w:val="Hyperlink"/>
                <w:noProof/>
              </w:rPr>
              <w:t>Anexo V - Cronograma Base de Comercialização</w:t>
            </w:r>
            <w:r w:rsidR="000004C3" w:rsidRPr="000004C3">
              <w:rPr>
                <w:noProof/>
                <w:webHidden/>
              </w:rPr>
              <w:tab/>
            </w:r>
            <w:r w:rsidR="000004C3" w:rsidRPr="000004C3">
              <w:rPr>
                <w:noProof/>
                <w:webHidden/>
              </w:rPr>
              <w:fldChar w:fldCharType="begin"/>
            </w:r>
            <w:r w:rsidR="000004C3" w:rsidRPr="000004C3">
              <w:rPr>
                <w:noProof/>
                <w:webHidden/>
              </w:rPr>
              <w:instrText xml:space="preserve"> PAGEREF _Toc492825322 \h </w:instrText>
            </w:r>
            <w:r w:rsidR="000004C3" w:rsidRPr="000004C3">
              <w:rPr>
                <w:noProof/>
                <w:webHidden/>
              </w:rPr>
            </w:r>
            <w:r w:rsidR="000004C3" w:rsidRPr="000004C3">
              <w:rPr>
                <w:noProof/>
                <w:webHidden/>
              </w:rPr>
              <w:fldChar w:fldCharType="separate"/>
            </w:r>
            <w:r w:rsidR="000004C3" w:rsidRPr="000004C3">
              <w:rPr>
                <w:noProof/>
                <w:webHidden/>
              </w:rPr>
              <w:t>- 27 -</w:t>
            </w:r>
            <w:r w:rsidR="000004C3" w:rsidRPr="000004C3">
              <w:rPr>
                <w:noProof/>
                <w:webHidden/>
              </w:rPr>
              <w:fldChar w:fldCharType="end"/>
            </w:r>
          </w:hyperlink>
        </w:p>
        <w:p w:rsidR="004C2060" w:rsidRPr="0030058B" w:rsidRDefault="004C2060" w:rsidP="00042F73">
          <w:pPr>
            <w:jc w:val="center"/>
            <w:rPr>
              <w:rFonts w:asciiTheme="minorHAnsi" w:hAnsiTheme="minorHAnsi" w:cstheme="minorHAnsi"/>
              <w:b/>
              <w:bCs/>
              <w:noProof/>
            </w:rPr>
          </w:pPr>
          <w:r w:rsidRPr="000004C3">
            <w:rPr>
              <w:rFonts w:asciiTheme="minorHAnsi" w:hAnsiTheme="minorHAnsi" w:cstheme="minorHAnsi"/>
              <w:bCs/>
              <w:noProof/>
            </w:rPr>
            <w:fldChar w:fldCharType="end"/>
          </w:r>
        </w:p>
      </w:sdtContent>
    </w:sdt>
    <w:p w:rsidR="00235BA2" w:rsidRPr="0030058B" w:rsidRDefault="00235BA2" w:rsidP="004C2060">
      <w:pPr>
        <w:rPr>
          <w:rFonts w:asciiTheme="minorHAnsi" w:hAnsiTheme="minorHAnsi" w:cstheme="minorHAnsi"/>
        </w:rPr>
      </w:pPr>
      <w:r w:rsidRPr="0030058B">
        <w:rPr>
          <w:rFonts w:asciiTheme="minorHAnsi" w:hAnsiTheme="minorHAnsi" w:cstheme="minorHAnsi"/>
          <w:b/>
          <w:color w:val="FF0000"/>
          <w:sz w:val="36"/>
          <w:szCs w:val="36"/>
          <w:highlight w:val="yellow"/>
          <w:lang w:eastAsia="en-US"/>
        </w:rPr>
        <w:br w:type="page"/>
      </w:r>
    </w:p>
    <w:p w:rsidR="00235BA2" w:rsidRPr="000004C3" w:rsidRDefault="00235BA2" w:rsidP="00184B43">
      <w:pPr>
        <w:pStyle w:val="Style1"/>
        <w:jc w:val="both"/>
        <w:rPr>
          <w:b/>
          <w:sz w:val="22"/>
          <w:szCs w:val="22"/>
        </w:rPr>
      </w:pPr>
      <w:bookmarkStart w:id="0" w:name="_Ref444761209"/>
      <w:bookmarkStart w:id="1" w:name="_Ref444761211"/>
      <w:bookmarkStart w:id="2" w:name="_Ref444761212"/>
      <w:bookmarkStart w:id="3" w:name="_Toc483821334"/>
      <w:bookmarkStart w:id="4" w:name="_Toc492825304"/>
      <w:r w:rsidRPr="000004C3">
        <w:rPr>
          <w:b/>
          <w:sz w:val="22"/>
          <w:szCs w:val="22"/>
        </w:rPr>
        <w:lastRenderedPageBreak/>
        <w:t>Objetivo</w:t>
      </w:r>
      <w:bookmarkEnd w:id="0"/>
      <w:bookmarkEnd w:id="1"/>
      <w:bookmarkEnd w:id="2"/>
      <w:bookmarkEnd w:id="3"/>
      <w:bookmarkEnd w:id="4"/>
    </w:p>
    <w:p w:rsidR="009129D7" w:rsidRPr="000004C3" w:rsidRDefault="009129D7" w:rsidP="00184B43">
      <w:pPr>
        <w:pStyle w:val="Corpodetexto"/>
        <w:kinsoku w:val="0"/>
        <w:overflowPunct w:val="0"/>
        <w:spacing w:line="360" w:lineRule="auto"/>
        <w:ind w:left="278" w:right="26" w:firstLine="278"/>
        <w:rPr>
          <w:rFonts w:asciiTheme="minorHAnsi" w:hAnsiTheme="minorHAnsi" w:cstheme="minorHAnsi"/>
          <w:bCs w:val="0"/>
          <w:i w:val="0"/>
          <w:iCs w:val="0"/>
          <w:szCs w:val="22"/>
        </w:rPr>
      </w:pPr>
      <w:r w:rsidRPr="000004C3">
        <w:rPr>
          <w:rFonts w:asciiTheme="minorHAnsi" w:hAnsiTheme="minorHAnsi" w:cstheme="minorHAnsi"/>
          <w:bCs w:val="0"/>
          <w:i w:val="0"/>
          <w:iCs w:val="0"/>
          <w:szCs w:val="22"/>
        </w:rPr>
        <w:t>O objetivo geral deste procedimento é detalhar e padronizar as atividades, entradas, saídas e interfaces do processo de Gestão dos Contratos para Comercialização de petróleo, que inclui a Contratação do Agente Comercializador (AC) e o Acompanhamento, Monitoramento e Auditoria dos Contratos para Comercialização do Petróleo proveniente dos Contratos de Partilha da Produção (</w:t>
      </w:r>
      <w:proofErr w:type="spellStart"/>
      <w:r w:rsidRPr="000004C3">
        <w:rPr>
          <w:rFonts w:asciiTheme="minorHAnsi" w:hAnsiTheme="minorHAnsi" w:cstheme="minorHAnsi"/>
          <w:bCs w:val="0"/>
          <w:i w:val="0"/>
          <w:iCs w:val="0"/>
          <w:szCs w:val="22"/>
        </w:rPr>
        <w:t>CPPs</w:t>
      </w:r>
      <w:proofErr w:type="spellEnd"/>
      <w:r w:rsidRPr="000004C3">
        <w:rPr>
          <w:rFonts w:asciiTheme="minorHAnsi" w:hAnsiTheme="minorHAnsi" w:cstheme="minorHAnsi"/>
          <w:bCs w:val="0"/>
          <w:i w:val="0"/>
          <w:iCs w:val="0"/>
          <w:szCs w:val="22"/>
        </w:rPr>
        <w:t>) e Acordos de Individualização da Produção (</w:t>
      </w:r>
      <w:proofErr w:type="spellStart"/>
      <w:r w:rsidRPr="000004C3">
        <w:rPr>
          <w:rFonts w:asciiTheme="minorHAnsi" w:hAnsiTheme="minorHAnsi" w:cstheme="minorHAnsi"/>
          <w:bCs w:val="0"/>
          <w:i w:val="0"/>
          <w:iCs w:val="0"/>
          <w:szCs w:val="22"/>
        </w:rPr>
        <w:t>AIPs</w:t>
      </w:r>
      <w:proofErr w:type="spellEnd"/>
      <w:r w:rsidRPr="000004C3">
        <w:rPr>
          <w:rFonts w:asciiTheme="minorHAnsi" w:hAnsiTheme="minorHAnsi" w:cstheme="minorHAnsi"/>
          <w:bCs w:val="0"/>
          <w:i w:val="0"/>
          <w:iCs w:val="0"/>
          <w:szCs w:val="22"/>
        </w:rPr>
        <w:t>) de forma que o processo seja executado pelas áreas técnicas seguindo as métricas estabelecidas nesses contratos.</w:t>
      </w:r>
    </w:p>
    <w:p w:rsidR="00235BA2" w:rsidRPr="000004C3" w:rsidRDefault="00235BA2" w:rsidP="00184B43">
      <w:pPr>
        <w:pStyle w:val="Style1"/>
        <w:jc w:val="both"/>
        <w:rPr>
          <w:b/>
          <w:sz w:val="22"/>
          <w:szCs w:val="22"/>
        </w:rPr>
      </w:pPr>
      <w:bookmarkStart w:id="5" w:name="_Toc492825305"/>
      <w:r w:rsidRPr="000004C3">
        <w:rPr>
          <w:b/>
          <w:sz w:val="22"/>
          <w:szCs w:val="22"/>
        </w:rPr>
        <w:t xml:space="preserve">Aplicação e </w:t>
      </w:r>
      <w:r w:rsidR="004C2060" w:rsidRPr="000004C3">
        <w:rPr>
          <w:b/>
          <w:sz w:val="22"/>
          <w:szCs w:val="22"/>
        </w:rPr>
        <w:t>Abrangência</w:t>
      </w:r>
      <w:bookmarkEnd w:id="5"/>
    </w:p>
    <w:p w:rsidR="009129D7" w:rsidRPr="000004C3" w:rsidRDefault="009129D7" w:rsidP="00184B43">
      <w:pPr>
        <w:pStyle w:val="Corpodetexto"/>
        <w:kinsoku w:val="0"/>
        <w:overflowPunct w:val="0"/>
        <w:spacing w:line="360" w:lineRule="auto"/>
        <w:ind w:left="357" w:right="26" w:firstLine="278"/>
        <w:rPr>
          <w:rFonts w:asciiTheme="minorHAnsi" w:hAnsiTheme="minorHAnsi" w:cstheme="minorHAnsi"/>
          <w:bCs w:val="0"/>
          <w:i w:val="0"/>
          <w:iCs w:val="0"/>
          <w:szCs w:val="22"/>
        </w:rPr>
      </w:pPr>
      <w:r w:rsidRPr="000004C3">
        <w:rPr>
          <w:rFonts w:asciiTheme="minorHAnsi" w:hAnsiTheme="minorHAnsi" w:cstheme="minorHAnsi"/>
          <w:bCs w:val="0"/>
          <w:i w:val="0"/>
          <w:iCs w:val="0"/>
          <w:szCs w:val="22"/>
        </w:rPr>
        <w:t xml:space="preserve">Este procedimento se aplica à gestão dos contratos para comercialização de petróleo provenientes de todos os </w:t>
      </w:r>
      <w:proofErr w:type="spellStart"/>
      <w:r w:rsidRPr="000004C3">
        <w:rPr>
          <w:rFonts w:asciiTheme="minorHAnsi" w:hAnsiTheme="minorHAnsi" w:cstheme="minorHAnsi"/>
          <w:bCs w:val="0"/>
          <w:i w:val="0"/>
          <w:iCs w:val="0"/>
          <w:szCs w:val="22"/>
        </w:rPr>
        <w:t>CPPs</w:t>
      </w:r>
      <w:proofErr w:type="spellEnd"/>
      <w:r w:rsidRPr="000004C3">
        <w:rPr>
          <w:rFonts w:asciiTheme="minorHAnsi" w:hAnsiTheme="minorHAnsi" w:cstheme="minorHAnsi"/>
          <w:bCs w:val="0"/>
          <w:i w:val="0"/>
          <w:iCs w:val="0"/>
          <w:szCs w:val="22"/>
        </w:rPr>
        <w:t xml:space="preserve"> e </w:t>
      </w:r>
      <w:proofErr w:type="spellStart"/>
      <w:r w:rsidRPr="000004C3">
        <w:rPr>
          <w:rFonts w:asciiTheme="minorHAnsi" w:hAnsiTheme="minorHAnsi" w:cstheme="minorHAnsi"/>
          <w:bCs w:val="0"/>
          <w:i w:val="0"/>
          <w:iCs w:val="0"/>
          <w:szCs w:val="22"/>
        </w:rPr>
        <w:t>AIPs</w:t>
      </w:r>
      <w:proofErr w:type="spellEnd"/>
      <w:r w:rsidRPr="000004C3">
        <w:rPr>
          <w:rFonts w:asciiTheme="minorHAnsi" w:hAnsiTheme="minorHAnsi" w:cstheme="minorHAnsi"/>
          <w:bCs w:val="0"/>
          <w:i w:val="0"/>
          <w:iCs w:val="0"/>
          <w:szCs w:val="22"/>
        </w:rPr>
        <w:t xml:space="preserve"> e </w:t>
      </w:r>
      <w:r w:rsidR="00F068CB" w:rsidRPr="000004C3">
        <w:rPr>
          <w:rFonts w:asciiTheme="minorHAnsi" w:hAnsiTheme="minorHAnsi" w:cstheme="minorHAnsi"/>
          <w:bCs w:val="0"/>
          <w:i w:val="0"/>
          <w:iCs w:val="0"/>
          <w:szCs w:val="22"/>
        </w:rPr>
        <w:t>tem</w:t>
      </w:r>
      <w:r w:rsidRPr="000004C3">
        <w:rPr>
          <w:rFonts w:asciiTheme="minorHAnsi" w:hAnsiTheme="minorHAnsi" w:cstheme="minorHAnsi"/>
          <w:bCs w:val="0"/>
          <w:i w:val="0"/>
          <w:iCs w:val="0"/>
          <w:szCs w:val="22"/>
        </w:rPr>
        <w:t xml:space="preserve"> como insumo</w:t>
      </w:r>
      <w:r w:rsidR="00F068CB" w:rsidRPr="000004C3">
        <w:rPr>
          <w:rFonts w:asciiTheme="minorHAnsi" w:hAnsiTheme="minorHAnsi" w:cstheme="minorHAnsi"/>
          <w:bCs w:val="0"/>
          <w:i w:val="0"/>
          <w:iCs w:val="0"/>
          <w:szCs w:val="22"/>
        </w:rPr>
        <w:t>s</w:t>
      </w:r>
      <w:r w:rsidRPr="000004C3">
        <w:rPr>
          <w:rFonts w:asciiTheme="minorHAnsi" w:hAnsiTheme="minorHAnsi" w:cstheme="minorHAnsi"/>
          <w:bCs w:val="0"/>
          <w:i w:val="0"/>
          <w:iCs w:val="0"/>
          <w:szCs w:val="22"/>
        </w:rPr>
        <w:t xml:space="preserve"> o</w:t>
      </w:r>
      <w:r w:rsidR="00F068CB" w:rsidRPr="000004C3">
        <w:rPr>
          <w:rFonts w:asciiTheme="minorHAnsi" w:hAnsiTheme="minorHAnsi" w:cstheme="minorHAnsi"/>
          <w:bCs w:val="0"/>
          <w:i w:val="0"/>
          <w:iCs w:val="0"/>
          <w:szCs w:val="22"/>
        </w:rPr>
        <w:t>s</w:t>
      </w:r>
      <w:r w:rsidRPr="000004C3">
        <w:rPr>
          <w:rFonts w:asciiTheme="minorHAnsi" w:hAnsiTheme="minorHAnsi" w:cstheme="minorHAnsi"/>
          <w:bCs w:val="0"/>
          <w:i w:val="0"/>
          <w:iCs w:val="0"/>
          <w:szCs w:val="22"/>
        </w:rPr>
        <w:t xml:space="preserve"> processo</w:t>
      </w:r>
      <w:r w:rsidR="00F068CB" w:rsidRPr="000004C3">
        <w:rPr>
          <w:rFonts w:asciiTheme="minorHAnsi" w:hAnsiTheme="minorHAnsi" w:cstheme="minorHAnsi"/>
          <w:bCs w:val="0"/>
          <w:i w:val="0"/>
          <w:iCs w:val="0"/>
          <w:szCs w:val="22"/>
        </w:rPr>
        <w:t xml:space="preserve">s de </w:t>
      </w:r>
      <w:r w:rsidRPr="000004C3">
        <w:rPr>
          <w:rFonts w:asciiTheme="minorHAnsi" w:hAnsiTheme="minorHAnsi" w:cstheme="minorHAnsi"/>
          <w:bCs w:val="0"/>
          <w:i w:val="0"/>
          <w:iCs w:val="0"/>
          <w:szCs w:val="22"/>
        </w:rPr>
        <w:t>Cálculo do Excedente em Óleo da União</w:t>
      </w:r>
      <w:r w:rsidR="00F068CB" w:rsidRPr="000004C3">
        <w:rPr>
          <w:rFonts w:asciiTheme="minorHAnsi" w:hAnsiTheme="minorHAnsi" w:cstheme="minorHAnsi"/>
          <w:bCs w:val="0"/>
          <w:i w:val="0"/>
          <w:iCs w:val="0"/>
          <w:szCs w:val="22"/>
        </w:rPr>
        <w:t xml:space="preserve"> e de EGV</w:t>
      </w:r>
      <w:r w:rsidRPr="000004C3">
        <w:rPr>
          <w:rFonts w:asciiTheme="minorHAnsi" w:hAnsiTheme="minorHAnsi" w:cstheme="minorHAnsi"/>
          <w:bCs w:val="0"/>
          <w:i w:val="0"/>
          <w:iCs w:val="0"/>
          <w:szCs w:val="22"/>
        </w:rPr>
        <w:t xml:space="preserve">, além das ‘Planilhas de Controle de Volume de Óleo dos Consorciados por FPSO e Programação de Embarque’, apresentadas pelo Operador, de acordo com os termos dos </w:t>
      </w:r>
      <w:r w:rsidRPr="000004C3">
        <w:rPr>
          <w:rFonts w:asciiTheme="minorHAnsi" w:hAnsiTheme="minorHAnsi" w:cstheme="minorHAnsi"/>
          <w:bCs w:val="0"/>
          <w:iCs w:val="0"/>
          <w:szCs w:val="22"/>
        </w:rPr>
        <w:t>Lifting</w:t>
      </w:r>
      <w:r w:rsidRPr="000004C3">
        <w:rPr>
          <w:rFonts w:asciiTheme="minorHAnsi" w:hAnsiTheme="minorHAnsi" w:cstheme="minorHAnsi"/>
          <w:bCs w:val="0"/>
          <w:i w:val="0"/>
          <w:iCs w:val="0"/>
          <w:szCs w:val="22"/>
        </w:rPr>
        <w:t xml:space="preserve"> </w:t>
      </w:r>
      <w:proofErr w:type="spellStart"/>
      <w:r w:rsidRPr="000004C3">
        <w:rPr>
          <w:rFonts w:asciiTheme="minorHAnsi" w:hAnsiTheme="minorHAnsi" w:cstheme="minorHAnsi"/>
          <w:bCs w:val="0"/>
          <w:iCs w:val="0"/>
          <w:szCs w:val="22"/>
        </w:rPr>
        <w:t>Agreements</w:t>
      </w:r>
      <w:proofErr w:type="spellEnd"/>
      <w:r w:rsidRPr="000004C3">
        <w:rPr>
          <w:rFonts w:asciiTheme="minorHAnsi" w:hAnsiTheme="minorHAnsi" w:cstheme="minorHAnsi"/>
          <w:bCs w:val="0"/>
          <w:i w:val="0"/>
          <w:iCs w:val="0"/>
          <w:szCs w:val="22"/>
        </w:rPr>
        <w:t xml:space="preserve"> (LA) correspondentes a cada FPSO. Visa cumprir a obrigação legal e contratual da </w:t>
      </w:r>
      <w:r w:rsidR="00F068CB" w:rsidRPr="000004C3">
        <w:rPr>
          <w:rFonts w:asciiTheme="minorHAnsi" w:hAnsiTheme="minorHAnsi" w:cstheme="minorHAnsi"/>
          <w:bCs w:val="0"/>
          <w:i w:val="0"/>
          <w:iCs w:val="0"/>
          <w:szCs w:val="22"/>
        </w:rPr>
        <w:t>Pré-Sal Petróleo</w:t>
      </w:r>
      <w:r w:rsidRPr="000004C3">
        <w:rPr>
          <w:rFonts w:asciiTheme="minorHAnsi" w:hAnsiTheme="minorHAnsi" w:cstheme="minorHAnsi"/>
          <w:bCs w:val="0"/>
          <w:i w:val="0"/>
          <w:iCs w:val="0"/>
          <w:szCs w:val="22"/>
        </w:rPr>
        <w:t xml:space="preserve"> prevista nas leis, decretos, </w:t>
      </w:r>
      <w:proofErr w:type="spellStart"/>
      <w:r w:rsidRPr="000004C3">
        <w:rPr>
          <w:rFonts w:asciiTheme="minorHAnsi" w:hAnsiTheme="minorHAnsi" w:cstheme="minorHAnsi"/>
          <w:bCs w:val="0"/>
          <w:i w:val="0"/>
          <w:iCs w:val="0"/>
          <w:szCs w:val="22"/>
        </w:rPr>
        <w:t>CPPs</w:t>
      </w:r>
      <w:proofErr w:type="spellEnd"/>
      <w:r w:rsidRPr="000004C3">
        <w:rPr>
          <w:rFonts w:asciiTheme="minorHAnsi" w:hAnsiTheme="minorHAnsi" w:cstheme="minorHAnsi"/>
          <w:bCs w:val="0"/>
          <w:i w:val="0"/>
          <w:iCs w:val="0"/>
          <w:szCs w:val="22"/>
        </w:rPr>
        <w:t xml:space="preserve">, </w:t>
      </w:r>
      <w:proofErr w:type="spellStart"/>
      <w:r w:rsidRPr="000004C3">
        <w:rPr>
          <w:rFonts w:asciiTheme="minorHAnsi" w:hAnsiTheme="minorHAnsi" w:cstheme="minorHAnsi"/>
          <w:bCs w:val="0"/>
          <w:i w:val="0"/>
          <w:iCs w:val="0"/>
          <w:szCs w:val="22"/>
        </w:rPr>
        <w:t>AIPs</w:t>
      </w:r>
      <w:proofErr w:type="spellEnd"/>
      <w:r w:rsidRPr="000004C3">
        <w:rPr>
          <w:rFonts w:asciiTheme="minorHAnsi" w:hAnsiTheme="minorHAnsi" w:cstheme="minorHAnsi"/>
          <w:bCs w:val="0"/>
          <w:i w:val="0"/>
          <w:iCs w:val="0"/>
          <w:szCs w:val="22"/>
        </w:rPr>
        <w:t xml:space="preserve"> e na Política de Comercialização aprovada pelo CNPE (Conselho Nacional de Política Energética). O sistema de suporte a esse processo será o </w:t>
      </w:r>
      <w:r w:rsidR="00193D0A" w:rsidRPr="000004C3">
        <w:rPr>
          <w:rFonts w:asciiTheme="minorHAnsi" w:hAnsiTheme="minorHAnsi" w:cstheme="minorHAnsi"/>
          <w:bCs w:val="0"/>
          <w:i w:val="0"/>
          <w:iCs w:val="0"/>
          <w:szCs w:val="22"/>
        </w:rPr>
        <w:t>Sistema de Gestão de Gastos de Partilha de Produção</w:t>
      </w:r>
      <w:r w:rsidR="00F068CB" w:rsidRPr="000004C3">
        <w:rPr>
          <w:rFonts w:asciiTheme="minorHAnsi" w:hAnsiTheme="minorHAnsi" w:cstheme="minorHAnsi"/>
          <w:bCs w:val="0"/>
          <w:i w:val="0"/>
          <w:iCs w:val="0"/>
          <w:szCs w:val="22"/>
        </w:rPr>
        <w:t xml:space="preserve"> (SGPP</w:t>
      </w:r>
      <w:r w:rsidRPr="000004C3">
        <w:rPr>
          <w:rFonts w:asciiTheme="minorHAnsi" w:hAnsiTheme="minorHAnsi" w:cstheme="minorHAnsi"/>
          <w:bCs w:val="0"/>
          <w:i w:val="0"/>
          <w:iCs w:val="0"/>
          <w:szCs w:val="22"/>
        </w:rPr>
        <w:t>).</w:t>
      </w:r>
    </w:p>
    <w:p w:rsidR="0027071E" w:rsidRPr="000004C3" w:rsidRDefault="0027071E" w:rsidP="007254CF">
      <w:pPr>
        <w:pStyle w:val="Style1"/>
        <w:rPr>
          <w:b/>
          <w:sz w:val="22"/>
          <w:szCs w:val="22"/>
        </w:rPr>
      </w:pPr>
      <w:bookmarkStart w:id="6" w:name="_Toc492825306"/>
      <w:r w:rsidRPr="000004C3">
        <w:rPr>
          <w:b/>
          <w:sz w:val="22"/>
          <w:szCs w:val="22"/>
        </w:rPr>
        <w:t>Documentos de Referência e Complementares</w:t>
      </w:r>
      <w:bookmarkEnd w:id="6"/>
    </w:p>
    <w:p w:rsidR="0027071E" w:rsidRPr="000004C3" w:rsidRDefault="0032313B"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Procedimento de Governança da Pré-Sal Petróleo para Contratos de Partilha da Produção (PG.DGC.001)</w:t>
      </w:r>
    </w:p>
    <w:p w:rsidR="0027071E" w:rsidRDefault="0027071E"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Sugestão de Modelo de Governança proposto pela KPMG</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Política de Comercialização de Petróleo e Gás Natural da União (Resolução CNPE)</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Contratos de Partilha de Produção em vigor</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Cs w:val="0"/>
          <w:szCs w:val="22"/>
        </w:rPr>
        <w:t xml:space="preserve">Lifting </w:t>
      </w:r>
      <w:proofErr w:type="spellStart"/>
      <w:r w:rsidRPr="000004C3">
        <w:rPr>
          <w:rFonts w:asciiTheme="minorHAnsi" w:hAnsiTheme="minorHAnsi" w:cstheme="minorHAnsi"/>
          <w:bCs w:val="0"/>
          <w:iCs w:val="0"/>
          <w:szCs w:val="22"/>
        </w:rPr>
        <w:t>Agreements</w:t>
      </w:r>
      <w:proofErr w:type="spellEnd"/>
      <w:r w:rsidRPr="000004C3">
        <w:rPr>
          <w:rFonts w:asciiTheme="minorHAnsi" w:hAnsiTheme="minorHAnsi" w:cstheme="minorHAnsi"/>
          <w:bCs w:val="0"/>
          <w:i w:val="0"/>
          <w:iCs w:val="0"/>
          <w:szCs w:val="22"/>
        </w:rPr>
        <w:t xml:space="preserve"> definidos para cada FPSO</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Acordos de Individualização da Produção (assinados) e seus Anexos</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Modelo de Ordem de Transferência de Propriedade</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Contrato de Confidencialidade</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Lei nº 12.351/2010</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Lei nº 12.304/2010</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t>Decreto nº 8.063/ 2013</w:t>
      </w:r>
    </w:p>
    <w:p w:rsidR="000004C3" w:rsidRPr="000004C3" w:rsidRDefault="000004C3" w:rsidP="000004C3">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0004C3">
        <w:rPr>
          <w:rFonts w:asciiTheme="minorHAnsi" w:hAnsiTheme="minorHAnsi" w:cstheme="minorHAnsi"/>
          <w:bCs w:val="0"/>
          <w:i w:val="0"/>
          <w:iCs w:val="0"/>
          <w:szCs w:val="22"/>
        </w:rPr>
        <w:lastRenderedPageBreak/>
        <w:t>Resolução do CNPE nº 12/2016 – DOU 24/03/2017</w:t>
      </w:r>
    </w:p>
    <w:p w:rsidR="0027071E" w:rsidRPr="000004C3" w:rsidRDefault="0027071E" w:rsidP="007254CF">
      <w:pPr>
        <w:pStyle w:val="Style1"/>
        <w:rPr>
          <w:b/>
          <w:sz w:val="22"/>
          <w:szCs w:val="22"/>
        </w:rPr>
      </w:pPr>
      <w:bookmarkStart w:id="7" w:name="_Toc492825307"/>
      <w:r w:rsidRPr="000004C3">
        <w:rPr>
          <w:b/>
          <w:sz w:val="22"/>
          <w:szCs w:val="22"/>
        </w:rPr>
        <w:t>Definições</w:t>
      </w:r>
      <w:bookmarkEnd w:id="7"/>
    </w:p>
    <w:tbl>
      <w:tblPr>
        <w:tblW w:w="9365" w:type="dxa"/>
        <w:tblInd w:w="3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4"/>
        <w:gridCol w:w="7921"/>
      </w:tblGrid>
      <w:tr w:rsidR="0027071E" w:rsidRPr="000004C3" w:rsidTr="00CE6C54">
        <w:trPr>
          <w:cantSplit/>
          <w:trHeight w:val="57"/>
          <w:tblHeader/>
        </w:trPr>
        <w:tc>
          <w:tcPr>
            <w:tcW w:w="1444" w:type="dxa"/>
            <w:shd w:val="clear" w:color="auto" w:fill="808080" w:themeFill="background1" w:themeFillShade="80"/>
          </w:tcPr>
          <w:p w:rsidR="0027071E" w:rsidRPr="000004C3" w:rsidRDefault="0027071E" w:rsidP="0027071E">
            <w:pPr>
              <w:rPr>
                <w:rFonts w:asciiTheme="minorHAnsi" w:hAnsiTheme="minorHAnsi" w:cstheme="minorHAnsi"/>
                <w:b/>
                <w:iCs/>
                <w:color w:val="FFFFFF"/>
                <w:sz w:val="22"/>
                <w:szCs w:val="22"/>
              </w:rPr>
            </w:pPr>
            <w:r w:rsidRPr="000004C3">
              <w:rPr>
                <w:rFonts w:asciiTheme="minorHAnsi" w:hAnsiTheme="minorHAnsi" w:cstheme="minorHAnsi"/>
                <w:b/>
                <w:iCs/>
                <w:color w:val="FFFFFF"/>
                <w:sz w:val="22"/>
                <w:szCs w:val="22"/>
              </w:rPr>
              <w:t>Sigla</w:t>
            </w:r>
          </w:p>
        </w:tc>
        <w:tc>
          <w:tcPr>
            <w:tcW w:w="7921" w:type="dxa"/>
            <w:shd w:val="clear" w:color="auto" w:fill="808080" w:themeFill="background1" w:themeFillShade="80"/>
          </w:tcPr>
          <w:p w:rsidR="0027071E" w:rsidRPr="000004C3" w:rsidRDefault="0027071E" w:rsidP="0027071E">
            <w:pPr>
              <w:rPr>
                <w:rFonts w:asciiTheme="minorHAnsi" w:hAnsiTheme="minorHAnsi" w:cstheme="minorHAnsi"/>
                <w:b/>
                <w:iCs/>
                <w:color w:val="FFFFFF"/>
                <w:sz w:val="22"/>
                <w:szCs w:val="22"/>
              </w:rPr>
            </w:pPr>
            <w:r w:rsidRPr="000004C3">
              <w:rPr>
                <w:rFonts w:asciiTheme="minorHAnsi" w:hAnsiTheme="minorHAnsi" w:cstheme="minorHAnsi"/>
                <w:b/>
                <w:iCs/>
                <w:color w:val="FFFFFF"/>
                <w:sz w:val="22"/>
                <w:szCs w:val="22"/>
              </w:rPr>
              <w:t>Descrição</w:t>
            </w:r>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 xml:space="preserve">AC </w:t>
            </w:r>
          </w:p>
        </w:tc>
        <w:tc>
          <w:tcPr>
            <w:tcW w:w="7921"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Agente Comercializador</w:t>
            </w:r>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 xml:space="preserve">AIP </w:t>
            </w:r>
          </w:p>
        </w:tc>
        <w:tc>
          <w:tcPr>
            <w:tcW w:w="7921"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Acordo de Individualização da Produção</w:t>
            </w:r>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highlight w:val="yellow"/>
              </w:rPr>
            </w:pPr>
            <w:r w:rsidRPr="000004C3">
              <w:rPr>
                <w:rFonts w:asciiTheme="minorHAnsi" w:hAnsiTheme="minorHAnsi" w:cstheme="minorHAnsi"/>
                <w:color w:val="000000"/>
                <w:sz w:val="22"/>
                <w:szCs w:val="22"/>
              </w:rPr>
              <w:t xml:space="preserve">ANP </w:t>
            </w:r>
          </w:p>
        </w:tc>
        <w:tc>
          <w:tcPr>
            <w:tcW w:w="7921" w:type="dxa"/>
            <w:vAlign w:val="center"/>
          </w:tcPr>
          <w:p w:rsidR="009129D7" w:rsidRPr="000004C3" w:rsidRDefault="009129D7" w:rsidP="009129D7">
            <w:pPr>
              <w:rPr>
                <w:rFonts w:asciiTheme="minorHAnsi" w:hAnsiTheme="minorHAnsi" w:cstheme="minorHAnsi"/>
                <w:color w:val="000000" w:themeColor="text1"/>
                <w:sz w:val="22"/>
                <w:szCs w:val="22"/>
                <w:highlight w:val="yellow"/>
              </w:rPr>
            </w:pPr>
            <w:r w:rsidRPr="000004C3">
              <w:rPr>
                <w:rFonts w:asciiTheme="minorHAnsi" w:hAnsiTheme="minorHAnsi" w:cstheme="minorHAnsi"/>
                <w:color w:val="000000"/>
                <w:sz w:val="22"/>
                <w:szCs w:val="22"/>
              </w:rPr>
              <w:t>Agência Nacional do Petróleo, Gás Natural e Biocombustíveis</w:t>
            </w:r>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highlight w:val="yellow"/>
              </w:rPr>
            </w:pPr>
            <w:r w:rsidRPr="000004C3">
              <w:rPr>
                <w:rFonts w:asciiTheme="minorHAnsi" w:hAnsiTheme="minorHAnsi" w:cstheme="minorHAnsi"/>
                <w:color w:val="000000"/>
                <w:sz w:val="22"/>
                <w:szCs w:val="22"/>
              </w:rPr>
              <w:t>BL</w:t>
            </w:r>
          </w:p>
        </w:tc>
        <w:tc>
          <w:tcPr>
            <w:tcW w:w="7921" w:type="dxa"/>
            <w:vAlign w:val="center"/>
          </w:tcPr>
          <w:p w:rsidR="009129D7" w:rsidRPr="000004C3" w:rsidRDefault="009129D7" w:rsidP="009129D7">
            <w:pPr>
              <w:rPr>
                <w:rFonts w:asciiTheme="minorHAnsi" w:hAnsiTheme="minorHAnsi" w:cstheme="minorHAnsi"/>
                <w:i/>
                <w:color w:val="000000" w:themeColor="text1"/>
                <w:sz w:val="22"/>
                <w:szCs w:val="22"/>
                <w:highlight w:val="yellow"/>
              </w:rPr>
            </w:pPr>
            <w:r w:rsidRPr="000004C3">
              <w:rPr>
                <w:rFonts w:asciiTheme="minorHAnsi" w:hAnsiTheme="minorHAnsi" w:cstheme="minorHAnsi"/>
                <w:i/>
                <w:color w:val="000000"/>
                <w:sz w:val="22"/>
                <w:szCs w:val="22"/>
              </w:rPr>
              <w:t xml:space="preserve">Bill </w:t>
            </w:r>
            <w:proofErr w:type="spellStart"/>
            <w:r w:rsidRPr="000004C3">
              <w:rPr>
                <w:rFonts w:asciiTheme="minorHAnsi" w:hAnsiTheme="minorHAnsi" w:cstheme="minorHAnsi"/>
                <w:i/>
                <w:color w:val="000000"/>
                <w:sz w:val="22"/>
                <w:szCs w:val="22"/>
              </w:rPr>
              <w:t>of</w:t>
            </w:r>
            <w:proofErr w:type="spellEnd"/>
            <w:r w:rsidRPr="000004C3">
              <w:rPr>
                <w:rFonts w:asciiTheme="minorHAnsi" w:hAnsiTheme="minorHAnsi" w:cstheme="minorHAnsi"/>
                <w:i/>
                <w:color w:val="000000"/>
                <w:sz w:val="22"/>
                <w:szCs w:val="22"/>
              </w:rPr>
              <w:t xml:space="preserve"> </w:t>
            </w:r>
            <w:proofErr w:type="spellStart"/>
            <w:r w:rsidRPr="000004C3">
              <w:rPr>
                <w:rFonts w:asciiTheme="minorHAnsi" w:hAnsiTheme="minorHAnsi" w:cstheme="minorHAnsi"/>
                <w:i/>
                <w:color w:val="000000"/>
                <w:sz w:val="22"/>
                <w:szCs w:val="22"/>
              </w:rPr>
              <w:t>Lading</w:t>
            </w:r>
            <w:proofErr w:type="spellEnd"/>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CA</w:t>
            </w:r>
          </w:p>
        </w:tc>
        <w:tc>
          <w:tcPr>
            <w:tcW w:w="7921"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 xml:space="preserve">Conselho Administrativo da </w:t>
            </w:r>
            <w:r w:rsidR="00F068CB" w:rsidRPr="000004C3">
              <w:rPr>
                <w:rFonts w:asciiTheme="minorHAnsi" w:hAnsiTheme="minorHAnsi" w:cstheme="minorHAnsi"/>
                <w:color w:val="000000"/>
                <w:sz w:val="22"/>
                <w:szCs w:val="22"/>
              </w:rPr>
              <w:t>Pré-Sal Petróleo</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CACP</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Coordenação de Acompanhamento e Controle da Produção</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 xml:space="preserve">CNPE </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Conselho Nacional de Política Energética</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 xml:space="preserve">CPP </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Contrato de Partilha da Produção</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DE</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 xml:space="preserve">Diretoria Executiva da </w:t>
            </w:r>
            <w:r w:rsidR="00F068CB" w:rsidRPr="000004C3">
              <w:rPr>
                <w:rFonts w:asciiTheme="minorHAnsi" w:hAnsiTheme="minorHAnsi" w:cstheme="minorHAnsi"/>
                <w:color w:val="000000"/>
                <w:sz w:val="22"/>
                <w:szCs w:val="22"/>
              </w:rPr>
              <w:t>Pré-Sal Petróleo</w:t>
            </w:r>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FOB</w:t>
            </w:r>
          </w:p>
        </w:tc>
        <w:tc>
          <w:tcPr>
            <w:tcW w:w="7921" w:type="dxa"/>
            <w:vAlign w:val="center"/>
          </w:tcPr>
          <w:p w:rsidR="009129D7" w:rsidRPr="000004C3" w:rsidRDefault="009129D7" w:rsidP="009129D7">
            <w:pPr>
              <w:rPr>
                <w:rFonts w:asciiTheme="minorHAnsi" w:hAnsiTheme="minorHAnsi" w:cstheme="minorHAnsi"/>
                <w:i/>
                <w:color w:val="000000" w:themeColor="text1"/>
                <w:sz w:val="22"/>
                <w:szCs w:val="22"/>
              </w:rPr>
            </w:pPr>
            <w:proofErr w:type="spellStart"/>
            <w:r w:rsidRPr="000004C3">
              <w:rPr>
                <w:rFonts w:asciiTheme="minorHAnsi" w:hAnsiTheme="minorHAnsi" w:cstheme="minorHAnsi"/>
                <w:i/>
                <w:color w:val="000000"/>
                <w:sz w:val="22"/>
                <w:szCs w:val="22"/>
              </w:rPr>
              <w:t>Free</w:t>
            </w:r>
            <w:proofErr w:type="spellEnd"/>
            <w:r w:rsidRPr="000004C3">
              <w:rPr>
                <w:rFonts w:asciiTheme="minorHAnsi" w:hAnsiTheme="minorHAnsi" w:cstheme="minorHAnsi"/>
                <w:i/>
                <w:color w:val="000000"/>
                <w:sz w:val="22"/>
                <w:szCs w:val="22"/>
              </w:rPr>
              <w:t xml:space="preserve"> </w:t>
            </w:r>
            <w:proofErr w:type="spellStart"/>
            <w:r w:rsidRPr="000004C3">
              <w:rPr>
                <w:rFonts w:asciiTheme="minorHAnsi" w:hAnsiTheme="minorHAnsi" w:cstheme="minorHAnsi"/>
                <w:i/>
                <w:color w:val="000000"/>
                <w:sz w:val="22"/>
                <w:szCs w:val="22"/>
              </w:rPr>
              <w:t>On</w:t>
            </w:r>
            <w:proofErr w:type="spellEnd"/>
            <w:r w:rsidRPr="000004C3">
              <w:rPr>
                <w:rFonts w:asciiTheme="minorHAnsi" w:hAnsiTheme="minorHAnsi" w:cstheme="minorHAnsi"/>
                <w:i/>
                <w:color w:val="000000"/>
                <w:sz w:val="22"/>
                <w:szCs w:val="22"/>
              </w:rPr>
              <w:t xml:space="preserve"> </w:t>
            </w:r>
            <w:proofErr w:type="spellStart"/>
            <w:r w:rsidRPr="000004C3">
              <w:rPr>
                <w:rFonts w:asciiTheme="minorHAnsi" w:hAnsiTheme="minorHAnsi" w:cstheme="minorHAnsi"/>
                <w:i/>
                <w:color w:val="000000"/>
                <w:sz w:val="22"/>
                <w:szCs w:val="22"/>
              </w:rPr>
              <w:t>Board</w:t>
            </w:r>
            <w:proofErr w:type="spellEnd"/>
          </w:p>
        </w:tc>
      </w:tr>
      <w:tr w:rsidR="009129D7" w:rsidRPr="004F1D56"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FPSO</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i/>
                <w:color w:val="000000" w:themeColor="text1"/>
                <w:sz w:val="22"/>
                <w:szCs w:val="22"/>
                <w:lang w:val="en-US"/>
              </w:rPr>
            </w:pPr>
            <w:r w:rsidRPr="000004C3">
              <w:rPr>
                <w:rFonts w:asciiTheme="minorHAnsi" w:hAnsiTheme="minorHAnsi" w:cstheme="minorHAnsi"/>
                <w:i/>
                <w:color w:val="000000"/>
                <w:sz w:val="22"/>
                <w:szCs w:val="22"/>
                <w:lang w:val="en-US"/>
              </w:rPr>
              <w:t>Floating Production Storage and Offloading</w:t>
            </w:r>
          </w:p>
        </w:tc>
      </w:tr>
      <w:tr w:rsidR="009129D7" w:rsidRPr="000004C3" w:rsidTr="0030058B">
        <w:trPr>
          <w:trHeight w:val="57"/>
        </w:trPr>
        <w:tc>
          <w:tcPr>
            <w:tcW w:w="1444"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GCCF</w:t>
            </w:r>
          </w:p>
        </w:tc>
        <w:tc>
          <w:tcPr>
            <w:tcW w:w="7921" w:type="dxa"/>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Gerência de Controle, Contábil e Finanças</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GRU</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Guia de Recolhimento da União</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LA</w:t>
            </w:r>
          </w:p>
        </w:tc>
        <w:tc>
          <w:tcPr>
            <w:tcW w:w="7921" w:type="dxa"/>
            <w:tcBorders>
              <w:bottom w:val="single" w:sz="6" w:space="0" w:color="auto"/>
            </w:tcBorders>
            <w:vAlign w:val="center"/>
          </w:tcPr>
          <w:p w:rsidR="009129D7" w:rsidRPr="000004C3" w:rsidRDefault="0032313B" w:rsidP="009129D7">
            <w:pPr>
              <w:rPr>
                <w:rFonts w:asciiTheme="minorHAnsi" w:hAnsiTheme="minorHAnsi" w:cstheme="minorHAnsi"/>
                <w:i/>
                <w:color w:val="000000" w:themeColor="text1"/>
                <w:sz w:val="22"/>
                <w:szCs w:val="22"/>
              </w:rPr>
            </w:pPr>
            <w:r w:rsidRPr="000004C3">
              <w:rPr>
                <w:rFonts w:asciiTheme="minorHAnsi" w:hAnsiTheme="minorHAnsi" w:cstheme="minorHAnsi"/>
                <w:i/>
                <w:color w:val="000000"/>
                <w:sz w:val="22"/>
                <w:szCs w:val="22"/>
              </w:rPr>
              <w:t xml:space="preserve">Lifting </w:t>
            </w:r>
            <w:proofErr w:type="spellStart"/>
            <w:r w:rsidRPr="000004C3">
              <w:rPr>
                <w:rFonts w:asciiTheme="minorHAnsi" w:hAnsiTheme="minorHAnsi" w:cstheme="minorHAnsi"/>
                <w:i/>
                <w:color w:val="000000"/>
                <w:sz w:val="22"/>
                <w:szCs w:val="22"/>
              </w:rPr>
              <w:t>Agreement</w:t>
            </w:r>
            <w:proofErr w:type="spellEnd"/>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MME</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Ministério de Minas e Energia</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RAC</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Receita Advinda da Comercialização</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SCP</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Superintendência de Comercialização da Produção</w:t>
            </w:r>
          </w:p>
        </w:tc>
      </w:tr>
      <w:tr w:rsidR="009129D7" w:rsidRPr="000004C3" w:rsidTr="0030058B">
        <w:trPr>
          <w:trHeight w:val="57"/>
        </w:trPr>
        <w:tc>
          <w:tcPr>
            <w:tcW w:w="1444"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SELIC</w:t>
            </w:r>
          </w:p>
        </w:tc>
        <w:tc>
          <w:tcPr>
            <w:tcW w:w="7921" w:type="dxa"/>
            <w:tcBorders>
              <w:bottom w:val="single" w:sz="6" w:space="0" w:color="auto"/>
            </w:tcBorders>
            <w:vAlign w:val="center"/>
          </w:tcPr>
          <w:p w:rsidR="009129D7" w:rsidRPr="000004C3" w:rsidRDefault="009129D7"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Sistema Especial de Liquidação e de Custódia</w:t>
            </w:r>
          </w:p>
        </w:tc>
      </w:tr>
      <w:tr w:rsidR="009129D7" w:rsidRPr="000004C3" w:rsidTr="0030058B">
        <w:trPr>
          <w:trHeight w:val="57"/>
        </w:trPr>
        <w:tc>
          <w:tcPr>
            <w:tcW w:w="1444" w:type="dxa"/>
            <w:tcBorders>
              <w:bottom w:val="single" w:sz="6" w:space="0" w:color="auto"/>
            </w:tcBorders>
            <w:vAlign w:val="center"/>
          </w:tcPr>
          <w:p w:rsidR="009129D7" w:rsidRPr="000004C3" w:rsidRDefault="00F068CB"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SGPP</w:t>
            </w:r>
            <w:r w:rsidR="009129D7" w:rsidRPr="000004C3">
              <w:rPr>
                <w:rFonts w:asciiTheme="minorHAnsi" w:hAnsiTheme="minorHAnsi" w:cstheme="minorHAnsi"/>
                <w:color w:val="000000"/>
                <w:sz w:val="22"/>
                <w:szCs w:val="22"/>
              </w:rPr>
              <w:t xml:space="preserve"> </w:t>
            </w:r>
          </w:p>
        </w:tc>
        <w:tc>
          <w:tcPr>
            <w:tcW w:w="7921" w:type="dxa"/>
            <w:tcBorders>
              <w:bottom w:val="single" w:sz="6" w:space="0" w:color="auto"/>
            </w:tcBorders>
            <w:vAlign w:val="center"/>
          </w:tcPr>
          <w:p w:rsidR="009129D7" w:rsidRPr="000004C3" w:rsidRDefault="00193D0A" w:rsidP="009129D7">
            <w:pPr>
              <w:rPr>
                <w:rFonts w:asciiTheme="minorHAnsi" w:hAnsiTheme="minorHAnsi" w:cstheme="minorHAnsi"/>
                <w:color w:val="000000" w:themeColor="text1"/>
                <w:sz w:val="22"/>
                <w:szCs w:val="22"/>
              </w:rPr>
            </w:pPr>
            <w:r w:rsidRPr="000004C3">
              <w:rPr>
                <w:rFonts w:asciiTheme="minorHAnsi" w:hAnsiTheme="minorHAnsi" w:cstheme="minorHAnsi"/>
                <w:color w:val="000000"/>
                <w:sz w:val="22"/>
                <w:szCs w:val="22"/>
              </w:rPr>
              <w:t>Sistema de Gestão de Gastos de Partilha de Produção</w:t>
            </w:r>
          </w:p>
        </w:tc>
      </w:tr>
    </w:tbl>
    <w:p w:rsidR="0027071E" w:rsidRPr="000004C3" w:rsidRDefault="0027071E" w:rsidP="0027071E">
      <w:pPr>
        <w:rPr>
          <w:rFonts w:asciiTheme="minorHAnsi" w:hAnsiTheme="minorHAnsi" w:cstheme="minorHAnsi"/>
          <w:sz w:val="22"/>
          <w:szCs w:val="22"/>
        </w:rPr>
      </w:pPr>
    </w:p>
    <w:p w:rsidR="009129D7" w:rsidRPr="000004C3" w:rsidRDefault="00F068CB"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AC (</w:t>
      </w:r>
      <w:r w:rsidR="009129D7" w:rsidRPr="000004C3">
        <w:rPr>
          <w:rFonts w:eastAsia="Times New Roman" w:cstheme="minorHAnsi"/>
          <w:lang w:eastAsia="pt-BR"/>
        </w:rPr>
        <w:t xml:space="preserve">Agente </w:t>
      </w:r>
      <w:r w:rsidRPr="000004C3">
        <w:rPr>
          <w:rFonts w:eastAsia="Times New Roman" w:cstheme="minorHAnsi"/>
          <w:lang w:eastAsia="pt-BR"/>
        </w:rPr>
        <w:t>Comercializador)</w:t>
      </w:r>
      <w:r w:rsidR="009129D7" w:rsidRPr="000004C3">
        <w:rPr>
          <w:rFonts w:eastAsia="Times New Roman" w:cstheme="minorHAnsi"/>
          <w:lang w:eastAsia="pt-BR"/>
        </w:rPr>
        <w:t xml:space="preserve">: responsável por desenvolver as atividades de comercialização, traçando estratégias de curto, médio e longo prazo, suportadas por um contrato previamente assinado com a </w:t>
      </w:r>
      <w:r w:rsidRPr="000004C3">
        <w:rPr>
          <w:rFonts w:eastAsia="Times New Roman" w:cstheme="minorHAnsi"/>
          <w:lang w:eastAsia="pt-BR"/>
        </w:rPr>
        <w:t>Pré-Sal Petróleo</w:t>
      </w:r>
      <w:r w:rsidR="009129D7" w:rsidRPr="000004C3">
        <w:rPr>
          <w:rFonts w:eastAsia="Times New Roman" w:cstheme="minorHAnsi"/>
          <w:lang w:eastAsia="pt-BR"/>
        </w:rPr>
        <w:t>.</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AIP: Acordo de Individualização da Produção, procedimento que visa à divisão do resultado da produção e ao aproveitamento racional dos recursos naturais da União, por meio da unificação do desenvolvimento e da produção relativos à jazida que se estenda além do bloco concedido ou contratado sob o regime de partilha de produção.</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Cargas combinadas: Caso detenha petróleo no campo objeto da comercialização, o AC deverá comercializar o petróleo da União preferencialmente em cargas combinadas com o petróleo de sua propriedade. No caso de o AC possuir diversos carregamentos no Campo, a programação dos embarques deverá considerar que todos os carregamentos de petróleo próprio do AC sejam combinados com petróleo da União. Desta forma, todas as cargas serão combinadas com volume da União e do AC.</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lastRenderedPageBreak/>
        <w:t>CPP: Contrato de Partilha de Produção, onde a propriedade do recurso permanece sob o poder d</w:t>
      </w:r>
      <w:r w:rsidR="0032313B" w:rsidRPr="000004C3">
        <w:rPr>
          <w:rFonts w:eastAsia="Times New Roman" w:cstheme="minorHAnsi"/>
          <w:lang w:eastAsia="pt-BR"/>
        </w:rPr>
        <w:t>a União</w:t>
      </w:r>
      <w:r w:rsidRPr="000004C3">
        <w:rPr>
          <w:rFonts w:eastAsia="Times New Roman" w:cstheme="minorHAnsi"/>
          <w:lang w:eastAsia="pt-BR"/>
        </w:rPr>
        <w:t xml:space="preserve"> e a empresa Operadora é contratada para explorar e produzir petróleo e gás natural, tendo como retorno uma parcela da produção.</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Desembaraço aduaneiro: processo de liberação do óleo pela alfândega para a entrada ou saída no país (importação ou exportação).</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Faixa de carregamento: período de dias em que o navio responsável pelo alívio na plataforma tem que estar disponível para fazer a operação de carregamento.</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Modalidade de venda: O Petróleo da União será sempre vendido em base FOB FPSO.</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 xml:space="preserve">Período de Precificação do Petróleo: O período de formação de preço de transferência de propriedade da União ao AC será o mês de carregamento - mês em que ocorrer o </w:t>
      </w:r>
      <w:r w:rsidRPr="000004C3">
        <w:rPr>
          <w:rFonts w:eastAsia="Times New Roman" w:cstheme="minorHAnsi"/>
          <w:i/>
          <w:lang w:eastAsia="pt-BR"/>
        </w:rPr>
        <w:t xml:space="preserve">Bill </w:t>
      </w:r>
      <w:proofErr w:type="spellStart"/>
      <w:r w:rsidRPr="000004C3">
        <w:rPr>
          <w:rFonts w:eastAsia="Times New Roman" w:cstheme="minorHAnsi"/>
          <w:i/>
          <w:lang w:eastAsia="pt-BR"/>
        </w:rPr>
        <w:t>of</w:t>
      </w:r>
      <w:proofErr w:type="spellEnd"/>
      <w:r w:rsidRPr="000004C3">
        <w:rPr>
          <w:rFonts w:eastAsia="Times New Roman" w:cstheme="minorHAnsi"/>
          <w:i/>
          <w:lang w:eastAsia="pt-BR"/>
        </w:rPr>
        <w:t xml:space="preserve"> </w:t>
      </w:r>
      <w:proofErr w:type="spellStart"/>
      <w:r w:rsidRPr="000004C3">
        <w:rPr>
          <w:rFonts w:eastAsia="Times New Roman" w:cstheme="minorHAnsi"/>
          <w:i/>
          <w:lang w:eastAsia="pt-BR"/>
        </w:rPr>
        <w:t>Lading</w:t>
      </w:r>
      <w:proofErr w:type="spellEnd"/>
      <w:r w:rsidRPr="000004C3">
        <w:rPr>
          <w:rFonts w:eastAsia="Times New Roman" w:cstheme="minorHAnsi"/>
          <w:lang w:eastAsia="pt-BR"/>
        </w:rPr>
        <w:t xml:space="preserve"> (“BL”) - adotando-se, para o preço do Brent datado, a média aritmética das cotações médias de todos os dias do mês de carregamento em que houver publicação no </w:t>
      </w:r>
      <w:proofErr w:type="spellStart"/>
      <w:r w:rsidRPr="000004C3">
        <w:rPr>
          <w:rFonts w:eastAsia="Times New Roman" w:cstheme="minorHAnsi"/>
          <w:lang w:eastAsia="pt-BR"/>
        </w:rPr>
        <w:t>Platt´s</w:t>
      </w:r>
      <w:proofErr w:type="spellEnd"/>
      <w:r w:rsidRPr="000004C3">
        <w:rPr>
          <w:rFonts w:eastAsia="Times New Roman" w:cstheme="minorHAnsi"/>
          <w:lang w:eastAsia="pt-BR"/>
        </w:rPr>
        <w:t>.</w:t>
      </w:r>
    </w:p>
    <w:p w:rsidR="009129D7" w:rsidRPr="000004C3" w:rsidRDefault="009129D7" w:rsidP="009129D7">
      <w:pPr>
        <w:pStyle w:val="Body"/>
        <w:numPr>
          <w:ilvl w:val="1"/>
          <w:numId w:val="2"/>
        </w:numPr>
        <w:spacing w:line="360" w:lineRule="auto"/>
        <w:rPr>
          <w:rFonts w:eastAsia="Times New Roman" w:cstheme="minorHAnsi"/>
          <w:i/>
          <w:lang w:eastAsia="pt-BR"/>
        </w:rPr>
      </w:pPr>
      <w:r w:rsidRPr="000004C3">
        <w:rPr>
          <w:rFonts w:eastAsia="Times New Roman" w:cstheme="minorHAnsi"/>
          <w:lang w:eastAsia="pt-BR"/>
        </w:rPr>
        <w:t xml:space="preserve">Petróleo de Referência: Na transferência de propriedade da União ao AC, as fórmulas de preço deverão adotar o Brent datado como referência de preço, conforme publicado no </w:t>
      </w:r>
      <w:proofErr w:type="spellStart"/>
      <w:r w:rsidRPr="000004C3">
        <w:rPr>
          <w:rFonts w:eastAsia="Times New Roman" w:cstheme="minorHAnsi"/>
          <w:i/>
          <w:lang w:eastAsia="pt-BR"/>
        </w:rPr>
        <w:t>Platts</w:t>
      </w:r>
      <w:proofErr w:type="spellEnd"/>
      <w:r w:rsidRPr="000004C3">
        <w:rPr>
          <w:rFonts w:eastAsia="Times New Roman" w:cstheme="minorHAnsi"/>
          <w:i/>
          <w:lang w:eastAsia="pt-BR"/>
        </w:rPr>
        <w:t xml:space="preserve"> </w:t>
      </w:r>
      <w:proofErr w:type="spellStart"/>
      <w:r w:rsidRPr="000004C3">
        <w:rPr>
          <w:rFonts w:eastAsia="Times New Roman" w:cstheme="minorHAnsi"/>
          <w:i/>
          <w:lang w:eastAsia="pt-BR"/>
        </w:rPr>
        <w:t>Crude</w:t>
      </w:r>
      <w:proofErr w:type="spellEnd"/>
      <w:r w:rsidRPr="000004C3">
        <w:rPr>
          <w:rFonts w:eastAsia="Times New Roman" w:cstheme="minorHAnsi"/>
          <w:i/>
          <w:lang w:eastAsia="pt-BR"/>
        </w:rPr>
        <w:t xml:space="preserve"> </w:t>
      </w:r>
      <w:proofErr w:type="spellStart"/>
      <w:r w:rsidRPr="000004C3">
        <w:rPr>
          <w:rFonts w:eastAsia="Times New Roman" w:cstheme="minorHAnsi"/>
          <w:i/>
          <w:lang w:eastAsia="pt-BR"/>
        </w:rPr>
        <w:t>Oil</w:t>
      </w:r>
      <w:proofErr w:type="spellEnd"/>
      <w:r w:rsidRPr="000004C3">
        <w:rPr>
          <w:rFonts w:eastAsia="Times New Roman" w:cstheme="minorHAnsi"/>
          <w:i/>
          <w:lang w:eastAsia="pt-BR"/>
        </w:rPr>
        <w:t xml:space="preserve"> </w:t>
      </w:r>
      <w:proofErr w:type="spellStart"/>
      <w:r w:rsidRPr="000004C3">
        <w:rPr>
          <w:rFonts w:eastAsia="Times New Roman" w:cstheme="minorHAnsi"/>
          <w:i/>
          <w:lang w:eastAsia="pt-BR"/>
        </w:rPr>
        <w:t>Marketwire</w:t>
      </w:r>
      <w:proofErr w:type="spellEnd"/>
      <w:r w:rsidRPr="000004C3">
        <w:rPr>
          <w:rFonts w:eastAsia="Times New Roman" w:cstheme="minorHAnsi"/>
          <w:i/>
          <w:lang w:eastAsia="pt-BR"/>
        </w:rPr>
        <w:t xml:space="preserve">. </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 xml:space="preserve">Preço de transferência de propriedade em base FOB FPSO da União ao AC será dado pela fórmula: </w:t>
      </w:r>
    </w:p>
    <w:p w:rsidR="009129D7" w:rsidRPr="000004C3" w:rsidRDefault="009129D7" w:rsidP="009129D7">
      <w:pPr>
        <w:pStyle w:val="Body"/>
        <w:spacing w:line="360" w:lineRule="auto"/>
        <w:ind w:left="1070"/>
        <w:rPr>
          <w:rFonts w:eastAsia="Times New Roman" w:cstheme="minorHAnsi"/>
          <w:lang w:eastAsia="pt-BR"/>
        </w:rPr>
      </w:pPr>
      <w:r w:rsidRPr="000004C3">
        <w:rPr>
          <w:rFonts w:eastAsia="Times New Roman" w:cstheme="minorHAnsi"/>
          <w:lang w:eastAsia="pt-BR"/>
        </w:rPr>
        <w:t>Preço FOB FPSO = preço DES ou CIF (ou outra modalidade) – custo logístico – remuneração do AC</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 xml:space="preserve">Preço FOB </w:t>
      </w:r>
      <w:r w:rsidRPr="000004C3">
        <w:rPr>
          <w:rFonts w:eastAsia="Times New Roman" w:cstheme="minorHAnsi"/>
          <w:i/>
          <w:lang w:eastAsia="pt-BR"/>
        </w:rPr>
        <w:t>(</w:t>
      </w:r>
      <w:proofErr w:type="spellStart"/>
      <w:r w:rsidRPr="000004C3">
        <w:rPr>
          <w:rFonts w:eastAsia="Times New Roman" w:cstheme="minorHAnsi"/>
          <w:i/>
          <w:lang w:eastAsia="pt-BR"/>
        </w:rPr>
        <w:t>Free</w:t>
      </w:r>
      <w:proofErr w:type="spellEnd"/>
      <w:r w:rsidRPr="000004C3">
        <w:rPr>
          <w:rFonts w:eastAsia="Times New Roman" w:cstheme="minorHAnsi"/>
          <w:i/>
          <w:lang w:eastAsia="pt-BR"/>
        </w:rPr>
        <w:t xml:space="preserve"> </w:t>
      </w:r>
      <w:proofErr w:type="spellStart"/>
      <w:r w:rsidRPr="000004C3">
        <w:rPr>
          <w:rFonts w:eastAsia="Times New Roman" w:cstheme="minorHAnsi"/>
          <w:i/>
          <w:lang w:eastAsia="pt-BR"/>
        </w:rPr>
        <w:t>On</w:t>
      </w:r>
      <w:proofErr w:type="spellEnd"/>
      <w:r w:rsidRPr="000004C3">
        <w:rPr>
          <w:rFonts w:eastAsia="Times New Roman" w:cstheme="minorHAnsi"/>
          <w:i/>
          <w:lang w:eastAsia="pt-BR"/>
        </w:rPr>
        <w:t xml:space="preserve"> </w:t>
      </w:r>
      <w:proofErr w:type="spellStart"/>
      <w:r w:rsidRPr="000004C3">
        <w:rPr>
          <w:rFonts w:eastAsia="Times New Roman" w:cstheme="minorHAnsi"/>
          <w:i/>
          <w:lang w:eastAsia="pt-BR"/>
        </w:rPr>
        <w:t>Board</w:t>
      </w:r>
      <w:proofErr w:type="spellEnd"/>
      <w:r w:rsidRPr="000004C3">
        <w:rPr>
          <w:rFonts w:eastAsia="Times New Roman" w:cstheme="minorHAnsi"/>
          <w:lang w:eastAsia="pt-BR"/>
        </w:rPr>
        <w:t xml:space="preserve">): O vendedor entrega as mercadorias desembaraçadas para exportação, no momento em que transpõem a flange de entrada do navio </w:t>
      </w:r>
      <w:proofErr w:type="spellStart"/>
      <w:r w:rsidRPr="000004C3">
        <w:rPr>
          <w:rFonts w:eastAsia="Times New Roman" w:cstheme="minorHAnsi"/>
          <w:lang w:eastAsia="pt-BR"/>
        </w:rPr>
        <w:t>aliviador</w:t>
      </w:r>
      <w:proofErr w:type="spellEnd"/>
      <w:r w:rsidRPr="000004C3">
        <w:rPr>
          <w:rFonts w:eastAsia="Times New Roman" w:cstheme="minorHAnsi"/>
          <w:lang w:eastAsia="pt-BR"/>
        </w:rPr>
        <w:t>. A partir daí, as despesas são por conta do importador/comprador.</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RAC – Receita Advinda da Comercialização: receita obtida através do preço venda do óleo subtraído de tributos e custos inerentes da Comercialização, multiplicado pelo volume de óleo vendido.</w:t>
      </w:r>
    </w:p>
    <w:p w:rsidR="009129D7" w:rsidRPr="000004C3" w:rsidRDefault="00F068CB"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SGPP</w:t>
      </w:r>
      <w:r w:rsidR="009129D7" w:rsidRPr="000004C3">
        <w:rPr>
          <w:rFonts w:eastAsia="Times New Roman" w:cstheme="minorHAnsi"/>
          <w:lang w:eastAsia="pt-BR"/>
        </w:rPr>
        <w:t xml:space="preserve">: </w:t>
      </w:r>
      <w:r w:rsidR="00193D0A" w:rsidRPr="000004C3">
        <w:rPr>
          <w:rFonts w:eastAsia="Times New Roman" w:cstheme="minorHAnsi"/>
          <w:lang w:eastAsia="pt-BR"/>
        </w:rPr>
        <w:t>Sistema de Gestão de Gastos de Partilha de Produção</w:t>
      </w:r>
      <w:r w:rsidR="009129D7" w:rsidRPr="000004C3">
        <w:rPr>
          <w:rFonts w:eastAsia="Times New Roman" w:cstheme="minorHAnsi"/>
          <w:lang w:eastAsia="pt-BR"/>
        </w:rPr>
        <w:t xml:space="preserve"> planejado para atender ao gerenciamento dos contratos de partilha e de comercialização de petróleo e gás natural.</w:t>
      </w:r>
    </w:p>
    <w:p w:rsidR="009129D7" w:rsidRPr="000004C3" w:rsidRDefault="009129D7" w:rsidP="009129D7">
      <w:pPr>
        <w:pStyle w:val="Body"/>
        <w:numPr>
          <w:ilvl w:val="1"/>
          <w:numId w:val="2"/>
        </w:numPr>
        <w:spacing w:line="360" w:lineRule="auto"/>
        <w:rPr>
          <w:rFonts w:eastAsia="Times New Roman" w:cstheme="minorHAnsi"/>
          <w:lang w:eastAsia="pt-BR"/>
        </w:rPr>
      </w:pPr>
      <w:r w:rsidRPr="000004C3">
        <w:rPr>
          <w:rFonts w:eastAsia="Times New Roman" w:cstheme="minorHAnsi"/>
          <w:lang w:eastAsia="pt-BR"/>
        </w:rPr>
        <w:t>Situação em que o AC vende o petróleo ao cliente final na modalidade FOB FPSO é dado pela seguinte fórmula:</w:t>
      </w:r>
    </w:p>
    <w:p w:rsidR="009129D7" w:rsidRPr="000004C3" w:rsidRDefault="009129D7" w:rsidP="009129D7">
      <w:pPr>
        <w:pStyle w:val="Body"/>
        <w:spacing w:line="360" w:lineRule="auto"/>
        <w:ind w:left="1070"/>
        <w:rPr>
          <w:rFonts w:eastAsia="Times New Roman" w:cstheme="minorHAnsi"/>
          <w:lang w:eastAsia="pt-BR"/>
        </w:rPr>
      </w:pPr>
      <w:r w:rsidRPr="000004C3">
        <w:rPr>
          <w:rFonts w:eastAsia="Times New Roman" w:cstheme="minorHAnsi"/>
          <w:lang w:eastAsia="pt-BR"/>
        </w:rPr>
        <w:lastRenderedPageBreak/>
        <w:t>Preço FOB FPSO = preço de venda FOB pelo AC ao cliente final – Remuneração do AC – Custo Logístico (Inspeção Independente) – Tributos.</w:t>
      </w:r>
    </w:p>
    <w:p w:rsidR="007254CF" w:rsidRPr="000004C3" w:rsidRDefault="00235BA2" w:rsidP="007254CF">
      <w:pPr>
        <w:pStyle w:val="Style1"/>
        <w:rPr>
          <w:b/>
          <w:sz w:val="22"/>
          <w:szCs w:val="22"/>
        </w:rPr>
      </w:pPr>
      <w:bookmarkStart w:id="8" w:name="_Toc492825308"/>
      <w:r w:rsidRPr="000004C3">
        <w:rPr>
          <w:b/>
          <w:sz w:val="22"/>
          <w:szCs w:val="22"/>
        </w:rPr>
        <w:t>A</w:t>
      </w:r>
      <w:r w:rsidR="0027071E" w:rsidRPr="000004C3">
        <w:rPr>
          <w:b/>
          <w:sz w:val="22"/>
          <w:szCs w:val="22"/>
        </w:rPr>
        <w:t>utoridade e Competência</w:t>
      </w:r>
      <w:r w:rsidR="00193D0A" w:rsidRPr="000004C3">
        <w:rPr>
          <w:b/>
          <w:sz w:val="22"/>
          <w:szCs w:val="22"/>
        </w:rPr>
        <w:t>s</w:t>
      </w:r>
      <w:bookmarkEnd w:id="8"/>
    </w:p>
    <w:p w:rsidR="007254CF" w:rsidRPr="000004C3" w:rsidRDefault="0027071E" w:rsidP="00193D0A">
      <w:pPr>
        <w:pStyle w:val="Body"/>
        <w:numPr>
          <w:ilvl w:val="1"/>
          <w:numId w:val="2"/>
        </w:numPr>
        <w:rPr>
          <w:b/>
        </w:rPr>
      </w:pPr>
      <w:r w:rsidRPr="000004C3">
        <w:rPr>
          <w:b/>
        </w:rPr>
        <w:t>A</w:t>
      </w:r>
      <w:r w:rsidR="00235BA2" w:rsidRPr="000004C3">
        <w:rPr>
          <w:b/>
        </w:rPr>
        <w:t>provação e Atualização</w:t>
      </w:r>
    </w:p>
    <w:p w:rsidR="009129D7" w:rsidRPr="000004C3" w:rsidRDefault="009129D7" w:rsidP="00193D0A">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0004C3">
        <w:rPr>
          <w:rFonts w:asciiTheme="minorHAnsi" w:hAnsiTheme="minorHAnsi" w:cstheme="minorHAnsi"/>
          <w:bCs w:val="0"/>
          <w:i w:val="0"/>
          <w:iCs w:val="0"/>
          <w:szCs w:val="22"/>
        </w:rPr>
        <w:t>A versão inicial e as revisões desse documento devem ser aprovadas conforme a Estrutura de Comitês de Governança prevista no Modelo de Governança dos Processos. As revisões no procedimento e nos fluxogramas dos processos de Gestão dos Contratos para Comercialização e Contratação do AC deverão ser realizadas simultaneamente e de acordo com o Ciclo de Revisão dos Processos, visando incorporar melhorias e novos sistemas, atender às políticas, diretrizes e padrões da empresa, deliberações da Diretoria, além de leis, decretos, políticas de comercialização e resoluções da ANP.</w:t>
      </w:r>
    </w:p>
    <w:p w:rsidR="00235BA2" w:rsidRPr="000004C3" w:rsidRDefault="00235BA2" w:rsidP="00193D0A">
      <w:pPr>
        <w:pStyle w:val="Body"/>
        <w:numPr>
          <w:ilvl w:val="1"/>
          <w:numId w:val="2"/>
        </w:numPr>
        <w:rPr>
          <w:b/>
        </w:rPr>
      </w:pPr>
      <w:r w:rsidRPr="000004C3">
        <w:rPr>
          <w:b/>
        </w:rPr>
        <w:t>Responsáveis pela Execução</w:t>
      </w:r>
    </w:p>
    <w:p w:rsidR="009129D7" w:rsidRPr="000004C3" w:rsidRDefault="009129D7" w:rsidP="00193D0A">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0004C3">
        <w:rPr>
          <w:rFonts w:asciiTheme="minorHAnsi" w:hAnsiTheme="minorHAnsi" w:cstheme="minorHAnsi"/>
          <w:bCs w:val="0"/>
          <w:i w:val="0"/>
          <w:iCs w:val="0"/>
          <w:szCs w:val="22"/>
        </w:rPr>
        <w:t xml:space="preserve">O processo de Comercialização foi estruturado de forma que a </w:t>
      </w:r>
      <w:r w:rsidR="00F068CB" w:rsidRPr="000004C3">
        <w:rPr>
          <w:rFonts w:asciiTheme="minorHAnsi" w:hAnsiTheme="minorHAnsi" w:cstheme="minorHAnsi"/>
          <w:bCs w:val="0"/>
          <w:i w:val="0"/>
          <w:iCs w:val="0"/>
          <w:szCs w:val="22"/>
        </w:rPr>
        <w:t>Pré-Sal Petróleo</w:t>
      </w:r>
      <w:r w:rsidRPr="000004C3">
        <w:rPr>
          <w:rFonts w:asciiTheme="minorHAnsi" w:hAnsiTheme="minorHAnsi" w:cstheme="minorHAnsi"/>
          <w:bCs w:val="0"/>
          <w:i w:val="0"/>
          <w:iCs w:val="0"/>
          <w:szCs w:val="22"/>
        </w:rPr>
        <w:t xml:space="preserve"> seja responsável pela transferência de propriedade do petróleo da União para o AC, na modalidade FOB FPSO, agindo como representante da União.</w:t>
      </w:r>
    </w:p>
    <w:p w:rsidR="00FC4982" w:rsidRPr="000004C3" w:rsidRDefault="00FC4982" w:rsidP="00030C2D">
      <w:pPr>
        <w:pStyle w:val="Corpodetexto"/>
        <w:kinsoku w:val="0"/>
        <w:overflowPunct w:val="0"/>
        <w:ind w:left="788" w:right="28" w:hanging="6"/>
        <w:rPr>
          <w:rFonts w:asciiTheme="minorHAnsi" w:hAnsiTheme="minorHAnsi" w:cstheme="minorHAnsi"/>
          <w:bCs w:val="0"/>
          <w:i w:val="0"/>
          <w:iCs w:val="0"/>
          <w:szCs w:val="22"/>
        </w:rPr>
      </w:pPr>
      <w:r w:rsidRPr="000004C3">
        <w:rPr>
          <w:noProof/>
          <w:szCs w:val="22"/>
        </w:rPr>
        <w:drawing>
          <wp:inline distT="0" distB="0" distL="0" distR="0">
            <wp:extent cx="5599642" cy="1362075"/>
            <wp:effectExtent l="19050" t="19050" r="20320" b="9525"/>
            <wp:docPr id="2" name="Picture 2" descr="Imagem inl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m inlin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05832" cy="1363581"/>
                    </a:xfrm>
                    <a:prstGeom prst="rect">
                      <a:avLst/>
                    </a:prstGeom>
                    <a:noFill/>
                    <a:ln>
                      <a:solidFill>
                        <a:schemeClr val="bg1">
                          <a:lumMod val="75000"/>
                        </a:schemeClr>
                      </a:solidFill>
                    </a:ln>
                  </pic:spPr>
                </pic:pic>
              </a:graphicData>
            </a:graphic>
          </wp:inline>
        </w:drawing>
      </w:r>
    </w:p>
    <w:p w:rsidR="009129D7" w:rsidRPr="000004C3" w:rsidRDefault="009129D7" w:rsidP="00184B43">
      <w:pPr>
        <w:pStyle w:val="Corpodetexto"/>
        <w:kinsoku w:val="0"/>
        <w:overflowPunct w:val="0"/>
        <w:spacing w:line="360" w:lineRule="auto"/>
        <w:ind w:left="792" w:right="26" w:hanging="8"/>
        <w:rPr>
          <w:rFonts w:asciiTheme="minorHAnsi" w:hAnsiTheme="minorHAnsi" w:cstheme="minorHAnsi"/>
          <w:bCs w:val="0"/>
          <w:i w:val="0"/>
          <w:iCs w:val="0"/>
          <w:szCs w:val="22"/>
        </w:rPr>
      </w:pPr>
      <w:r w:rsidRPr="000004C3">
        <w:rPr>
          <w:rFonts w:asciiTheme="minorHAnsi" w:hAnsiTheme="minorHAnsi" w:cstheme="minorHAnsi"/>
          <w:bCs w:val="0"/>
          <w:i w:val="0"/>
          <w:iCs w:val="0"/>
          <w:sz w:val="20"/>
          <w:szCs w:val="22"/>
        </w:rPr>
        <w:t>Figura 1: Modelo de Negócio para Comercialização</w:t>
      </w:r>
    </w:p>
    <w:p w:rsidR="009129D7" w:rsidRPr="000004C3" w:rsidRDefault="009129D7" w:rsidP="00184B43">
      <w:pPr>
        <w:pStyle w:val="Corpodetexto"/>
        <w:kinsoku w:val="0"/>
        <w:overflowPunct w:val="0"/>
        <w:spacing w:line="360" w:lineRule="auto"/>
        <w:ind w:left="792" w:right="26" w:firstLine="278"/>
        <w:rPr>
          <w:rFonts w:asciiTheme="minorHAnsi" w:hAnsiTheme="minorHAnsi" w:cstheme="minorHAnsi"/>
          <w:bCs w:val="0"/>
          <w:i w:val="0"/>
          <w:iCs w:val="0"/>
          <w:szCs w:val="22"/>
        </w:rPr>
      </w:pPr>
      <w:r w:rsidRPr="000004C3">
        <w:rPr>
          <w:rFonts w:asciiTheme="minorHAnsi" w:hAnsiTheme="minorHAnsi" w:cstheme="minorHAnsi"/>
          <w:bCs w:val="0"/>
          <w:i w:val="0"/>
          <w:iCs w:val="0"/>
          <w:szCs w:val="22"/>
        </w:rPr>
        <w:t>Os responsáveis pela execução são colaboradores nas áreas técnicas e administrativas indicados para analisar as informações recebidas, identificar não conformidades e propor ações corretivas, de acordo com as atribuições, papéis e responsabilidades dos processos referentes a esse procedimento, detalhados no Anexo II deste documento.</w:t>
      </w:r>
    </w:p>
    <w:p w:rsidR="0027071E" w:rsidRPr="000004C3" w:rsidRDefault="00235BA2" w:rsidP="007254CF">
      <w:pPr>
        <w:pStyle w:val="Style1"/>
        <w:rPr>
          <w:b/>
          <w:sz w:val="22"/>
          <w:szCs w:val="22"/>
        </w:rPr>
      </w:pPr>
      <w:bookmarkStart w:id="9" w:name="_Toc492825309"/>
      <w:r w:rsidRPr="000004C3">
        <w:rPr>
          <w:b/>
          <w:sz w:val="22"/>
          <w:szCs w:val="22"/>
        </w:rPr>
        <w:lastRenderedPageBreak/>
        <w:t>Descrição</w:t>
      </w:r>
      <w:bookmarkEnd w:id="9"/>
    </w:p>
    <w:p w:rsidR="00255FA8" w:rsidRPr="000004C3" w:rsidRDefault="00255FA8" w:rsidP="000C6A5A">
      <w:pPr>
        <w:pStyle w:val="Style2"/>
        <w:numPr>
          <w:ilvl w:val="1"/>
          <w:numId w:val="2"/>
        </w:numPr>
        <w:spacing w:before="240"/>
        <w:ind w:left="1072" w:hanging="431"/>
        <w:rPr>
          <w:b/>
          <w:sz w:val="22"/>
          <w:szCs w:val="22"/>
        </w:rPr>
      </w:pPr>
      <w:bookmarkStart w:id="10" w:name="_Toc492825310"/>
      <w:r w:rsidRPr="000004C3">
        <w:rPr>
          <w:b/>
          <w:sz w:val="22"/>
          <w:szCs w:val="22"/>
        </w:rPr>
        <w:t>Descrição Geral do Processo</w:t>
      </w:r>
      <w:bookmarkEnd w:id="10"/>
    </w:p>
    <w:p w:rsidR="00184B43" w:rsidRPr="000004C3" w:rsidRDefault="00184B43" w:rsidP="00184B43">
      <w:pPr>
        <w:pStyle w:val="Body"/>
        <w:spacing w:before="0" w:line="360" w:lineRule="auto"/>
        <w:ind w:left="672" w:firstLine="360"/>
        <w:rPr>
          <w:rFonts w:eastAsia="Times New Roman" w:cstheme="minorHAnsi"/>
          <w:lang w:eastAsia="pt-BR"/>
        </w:rPr>
      </w:pPr>
      <w:r w:rsidRPr="000004C3">
        <w:rPr>
          <w:rFonts w:eastAsia="Times New Roman" w:cstheme="minorHAnsi"/>
          <w:lang w:eastAsia="pt-BR"/>
        </w:rPr>
        <w:t xml:space="preserve">Conforme determinado pelo Decreto nº 8.063 de 01 de agosto de 2013 e pela Lei nº 12.304 de 02 de agosto de 2010, compete à </w:t>
      </w:r>
      <w:r w:rsidR="00F068CB" w:rsidRPr="000004C3">
        <w:rPr>
          <w:rFonts w:eastAsia="Times New Roman" w:cstheme="minorHAnsi"/>
          <w:lang w:eastAsia="pt-BR"/>
        </w:rPr>
        <w:t>Pré-Sal Petróleo</w:t>
      </w:r>
      <w:r w:rsidRPr="000004C3">
        <w:rPr>
          <w:rFonts w:eastAsia="Times New Roman" w:cstheme="minorHAnsi"/>
          <w:lang w:eastAsia="pt-BR"/>
        </w:rPr>
        <w:t xml:space="preserve"> realizar as seguintes atividades relacionadas ao macroprocesso de Gestão dos Contratos para Comercialização de Óleo e Gás:</w:t>
      </w:r>
    </w:p>
    <w:p w:rsidR="00184B43" w:rsidRPr="000004C3" w:rsidRDefault="00184B43" w:rsidP="00106A68">
      <w:pPr>
        <w:pStyle w:val="Body"/>
        <w:numPr>
          <w:ilvl w:val="0"/>
          <w:numId w:val="6"/>
        </w:numPr>
        <w:spacing w:after="60" w:line="360" w:lineRule="auto"/>
        <w:ind w:left="1392"/>
        <w:rPr>
          <w:rFonts w:eastAsia="Times New Roman" w:cstheme="minorHAnsi"/>
          <w:lang w:eastAsia="pt-BR"/>
        </w:rPr>
      </w:pPr>
      <w:r w:rsidRPr="000004C3">
        <w:rPr>
          <w:rFonts w:eastAsia="Times New Roman" w:cstheme="minorHAnsi"/>
          <w:lang w:eastAsia="pt-BR"/>
        </w:rPr>
        <w:t>Celebrar os contratos com agentes comercializadores, representando a União;</w:t>
      </w:r>
    </w:p>
    <w:p w:rsidR="00184B43" w:rsidRPr="000004C3" w:rsidRDefault="00184B43" w:rsidP="00106A68">
      <w:pPr>
        <w:pStyle w:val="Body"/>
        <w:numPr>
          <w:ilvl w:val="0"/>
          <w:numId w:val="6"/>
        </w:numPr>
        <w:spacing w:after="60" w:line="360" w:lineRule="auto"/>
        <w:ind w:left="1392"/>
        <w:rPr>
          <w:rFonts w:eastAsia="Times New Roman" w:cstheme="minorHAnsi"/>
          <w:lang w:eastAsia="pt-BR"/>
        </w:rPr>
      </w:pPr>
      <w:r w:rsidRPr="000004C3">
        <w:rPr>
          <w:rFonts w:eastAsia="Times New Roman" w:cstheme="minorHAnsi"/>
          <w:lang w:eastAsia="pt-BR"/>
        </w:rPr>
        <w:t>Verificar o cumprimento, pelos contratados, da política de comercialização de petróleo e gás natural da União; e</w:t>
      </w:r>
    </w:p>
    <w:p w:rsidR="00184B43" w:rsidRPr="000004C3" w:rsidRDefault="00184B43" w:rsidP="00106A68">
      <w:pPr>
        <w:pStyle w:val="Body"/>
        <w:numPr>
          <w:ilvl w:val="0"/>
          <w:numId w:val="6"/>
        </w:numPr>
        <w:spacing w:after="60" w:line="360" w:lineRule="auto"/>
        <w:ind w:left="1392"/>
        <w:rPr>
          <w:rFonts w:eastAsia="Times New Roman" w:cstheme="minorHAnsi"/>
          <w:lang w:eastAsia="pt-BR"/>
        </w:rPr>
      </w:pPr>
      <w:r w:rsidRPr="000004C3">
        <w:rPr>
          <w:rFonts w:eastAsia="Times New Roman" w:cstheme="minorHAnsi"/>
          <w:lang w:eastAsia="pt-BR"/>
        </w:rPr>
        <w:t>Monitorar e auditar as operações, os custos e os preços de venda de petróleo, de gás natural e de outros hidrocarbonetos fluidos.</w:t>
      </w:r>
    </w:p>
    <w:p w:rsidR="00184B43" w:rsidRPr="000004C3" w:rsidRDefault="00184B43" w:rsidP="00184B43">
      <w:pPr>
        <w:spacing w:line="360" w:lineRule="auto"/>
        <w:ind w:left="672" w:firstLine="360"/>
        <w:jc w:val="both"/>
        <w:rPr>
          <w:rFonts w:asciiTheme="minorHAnsi" w:hAnsiTheme="minorHAnsi" w:cstheme="minorHAnsi"/>
          <w:sz w:val="22"/>
          <w:szCs w:val="22"/>
        </w:rPr>
      </w:pPr>
      <w:r w:rsidRPr="000004C3">
        <w:rPr>
          <w:rFonts w:asciiTheme="minorHAnsi" w:hAnsiTheme="minorHAnsi" w:cstheme="minorHAnsi"/>
          <w:sz w:val="22"/>
          <w:szCs w:val="22"/>
        </w:rPr>
        <w:t>Os processos que compõe o macroprocesso de Gestão dos Contratos para Comercialização de Óleo e Gás estão descritos a seguir:</w:t>
      </w:r>
    </w:p>
    <w:p w:rsidR="00184B43" w:rsidRPr="000004C3" w:rsidRDefault="00184B43" w:rsidP="00106A68">
      <w:pPr>
        <w:pStyle w:val="PargrafodaLista"/>
        <w:numPr>
          <w:ilvl w:val="0"/>
          <w:numId w:val="8"/>
        </w:numPr>
        <w:spacing w:after="200" w:line="360" w:lineRule="auto"/>
        <w:ind w:left="1392"/>
        <w:jc w:val="both"/>
        <w:rPr>
          <w:rFonts w:asciiTheme="minorHAnsi" w:hAnsiTheme="minorHAnsi" w:cstheme="minorHAnsi"/>
          <w:sz w:val="22"/>
          <w:szCs w:val="22"/>
        </w:rPr>
      </w:pPr>
      <w:r w:rsidRPr="000004C3">
        <w:rPr>
          <w:rFonts w:asciiTheme="minorHAnsi" w:hAnsiTheme="minorHAnsi" w:cstheme="minorHAnsi"/>
          <w:sz w:val="22"/>
          <w:szCs w:val="22"/>
        </w:rPr>
        <w:t xml:space="preserve">Contratação do Agente Comercializador (AC) </w:t>
      </w:r>
      <w:r w:rsidR="0032313B" w:rsidRPr="000004C3">
        <w:rPr>
          <w:rFonts w:asciiTheme="minorHAnsi" w:hAnsiTheme="minorHAnsi" w:cstheme="minorHAnsi"/>
          <w:sz w:val="22"/>
          <w:szCs w:val="22"/>
        </w:rPr>
        <w:t xml:space="preserve">que </w:t>
      </w:r>
      <w:r w:rsidRPr="000004C3">
        <w:rPr>
          <w:rFonts w:asciiTheme="minorHAnsi" w:hAnsiTheme="minorHAnsi" w:cstheme="minorHAnsi"/>
          <w:sz w:val="22"/>
          <w:szCs w:val="22"/>
        </w:rPr>
        <w:t>contempla as seguintes etapas</w:t>
      </w:r>
      <w:r w:rsidR="0032313B" w:rsidRPr="000004C3">
        <w:rPr>
          <w:rFonts w:asciiTheme="minorHAnsi" w:hAnsiTheme="minorHAnsi" w:cstheme="minorHAnsi"/>
          <w:sz w:val="22"/>
          <w:szCs w:val="22"/>
        </w:rPr>
        <w:t>, de forma geral</w:t>
      </w:r>
      <w:r w:rsidRPr="000004C3">
        <w:rPr>
          <w:rFonts w:asciiTheme="minorHAnsi" w:hAnsiTheme="minorHAnsi" w:cstheme="minorHAnsi"/>
          <w:sz w:val="22"/>
          <w:szCs w:val="22"/>
        </w:rPr>
        <w:t>:</w:t>
      </w:r>
    </w:p>
    <w:p w:rsidR="00184B43" w:rsidRPr="000004C3" w:rsidRDefault="00184B43" w:rsidP="00106A68">
      <w:pPr>
        <w:pStyle w:val="Body"/>
        <w:numPr>
          <w:ilvl w:val="0"/>
          <w:numId w:val="7"/>
        </w:numPr>
        <w:spacing w:line="360" w:lineRule="auto"/>
        <w:ind w:left="1741"/>
        <w:rPr>
          <w:rFonts w:eastAsia="Times New Roman" w:cstheme="minorHAnsi"/>
          <w:lang w:eastAsia="pt-BR"/>
        </w:rPr>
      </w:pPr>
      <w:r w:rsidRPr="000004C3">
        <w:rPr>
          <w:rFonts w:eastAsia="Times New Roman" w:cstheme="minorHAnsi"/>
          <w:lang w:eastAsia="pt-BR"/>
        </w:rPr>
        <w:t>Definição dos parâmetros do contrato a serem seguidos pelo AC;</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Contratação direta da Petrobrás ou licitação para contratação do AC; e</w:t>
      </w:r>
    </w:p>
    <w:p w:rsidR="00184B43" w:rsidRPr="000004C3" w:rsidRDefault="00184B43" w:rsidP="00106A68">
      <w:pPr>
        <w:pStyle w:val="Body"/>
        <w:numPr>
          <w:ilvl w:val="0"/>
          <w:numId w:val="8"/>
        </w:numPr>
        <w:spacing w:after="60" w:line="360" w:lineRule="auto"/>
        <w:ind w:left="1392"/>
        <w:rPr>
          <w:rFonts w:cstheme="minorHAnsi"/>
        </w:rPr>
      </w:pPr>
      <w:r w:rsidRPr="000004C3">
        <w:rPr>
          <w:rFonts w:cstheme="minorHAnsi"/>
        </w:rPr>
        <w:t>Gestão dos Contratos para Comercialização contempla as seguintes etapas:</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 xml:space="preserve">Recebimento </w:t>
      </w:r>
      <w:r w:rsidR="0032313B" w:rsidRPr="000004C3">
        <w:rPr>
          <w:rFonts w:cstheme="minorHAnsi"/>
        </w:rPr>
        <w:t>de</w:t>
      </w:r>
      <w:r w:rsidRPr="000004C3">
        <w:rPr>
          <w:rFonts w:cstheme="minorHAnsi"/>
        </w:rPr>
        <w:t xml:space="preserve"> áreas internas (</w:t>
      </w:r>
      <w:r w:rsidR="00F068CB" w:rsidRPr="000004C3">
        <w:rPr>
          <w:rFonts w:cstheme="minorHAnsi"/>
        </w:rPr>
        <w:t>Pré-Sal Petróleo</w:t>
      </w:r>
      <w:r w:rsidRPr="000004C3">
        <w:rPr>
          <w:rFonts w:cstheme="minorHAnsi"/>
        </w:rPr>
        <w:t>) e/ou do Operador da informação do volume da produção a ser comercializado</w:t>
      </w:r>
      <w:r w:rsidR="0032313B" w:rsidRPr="000004C3">
        <w:rPr>
          <w:rFonts w:cstheme="minorHAnsi"/>
        </w:rPr>
        <w:t xml:space="preserve"> e da programação de embarque de óleo</w:t>
      </w:r>
      <w:r w:rsidRPr="000004C3">
        <w:rPr>
          <w:rFonts w:cstheme="minorHAnsi"/>
        </w:rPr>
        <w:t>;</w:t>
      </w:r>
    </w:p>
    <w:p w:rsidR="0032313B" w:rsidRPr="000004C3" w:rsidRDefault="0032313B" w:rsidP="00106A68">
      <w:pPr>
        <w:pStyle w:val="Body"/>
        <w:numPr>
          <w:ilvl w:val="0"/>
          <w:numId w:val="7"/>
        </w:numPr>
        <w:spacing w:line="360" w:lineRule="auto"/>
        <w:ind w:left="1741"/>
        <w:rPr>
          <w:rFonts w:cstheme="minorHAnsi"/>
        </w:rPr>
      </w:pPr>
      <w:r w:rsidRPr="000004C3">
        <w:rPr>
          <w:rFonts w:cstheme="minorHAnsi"/>
        </w:rPr>
        <w:t>Acompanhamento do estoque da União, por óleo e por plataforma;</w:t>
      </w:r>
    </w:p>
    <w:p w:rsidR="0032313B" w:rsidRPr="000004C3" w:rsidRDefault="0032313B" w:rsidP="00106A68">
      <w:pPr>
        <w:pStyle w:val="Body"/>
        <w:numPr>
          <w:ilvl w:val="0"/>
          <w:numId w:val="7"/>
        </w:numPr>
        <w:spacing w:line="360" w:lineRule="auto"/>
        <w:ind w:left="1741"/>
        <w:rPr>
          <w:rFonts w:cstheme="minorHAnsi"/>
        </w:rPr>
      </w:pPr>
      <w:r w:rsidRPr="000004C3">
        <w:rPr>
          <w:rFonts w:cstheme="minorHAnsi"/>
        </w:rPr>
        <w:t>Indicação da faixa e volume de óleo de interesse de carregamento e quantidade de gás para comercializar;</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Definição d</w:t>
      </w:r>
      <w:r w:rsidR="0032313B" w:rsidRPr="000004C3">
        <w:rPr>
          <w:rFonts w:cstheme="minorHAnsi"/>
        </w:rPr>
        <w:t>o Programa de Carregamento pelo Operador</w:t>
      </w:r>
      <w:r w:rsidRPr="000004C3">
        <w:rPr>
          <w:rFonts w:cstheme="minorHAnsi"/>
        </w:rPr>
        <w:t>;</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Comercialização do óleo pelo AC;</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Emissão dos documentos necessários ao embarque;</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Acompanhar as ações executadas pelo AC para o alívio e o carregamento do óleo em navio convencional (para o caso de exportação);</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lastRenderedPageBreak/>
        <w:t>Cálculo da Receita Advinda da Comercialização – RAC:</w:t>
      </w:r>
    </w:p>
    <w:p w:rsidR="00184B43" w:rsidRPr="000004C3" w:rsidRDefault="00184B43" w:rsidP="00106A68">
      <w:pPr>
        <w:pStyle w:val="Body"/>
        <w:numPr>
          <w:ilvl w:val="1"/>
          <w:numId w:val="9"/>
        </w:numPr>
        <w:spacing w:line="360" w:lineRule="auto"/>
        <w:ind w:left="2461"/>
        <w:rPr>
          <w:rFonts w:cstheme="minorHAnsi"/>
        </w:rPr>
      </w:pPr>
      <w:r w:rsidRPr="000004C3">
        <w:rPr>
          <w:rFonts w:cstheme="minorHAnsi"/>
        </w:rPr>
        <w:t>RAC = (Preço Venda – Tributos – Custos Inerentes da Comercialização) x Volume;</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 xml:space="preserve">Acompanhar o Faturamento realizado pelo AC para pagamento ao Tesouro Nacional; </w:t>
      </w:r>
    </w:p>
    <w:p w:rsidR="00184B43" w:rsidRPr="000004C3" w:rsidRDefault="00184B43" w:rsidP="00106A68">
      <w:pPr>
        <w:pStyle w:val="Body"/>
        <w:numPr>
          <w:ilvl w:val="0"/>
          <w:numId w:val="7"/>
        </w:numPr>
        <w:spacing w:line="360" w:lineRule="auto"/>
        <w:ind w:left="1741"/>
        <w:rPr>
          <w:rFonts w:cstheme="minorHAnsi"/>
        </w:rPr>
      </w:pPr>
      <w:r w:rsidRPr="000004C3">
        <w:rPr>
          <w:rFonts w:cstheme="minorHAnsi"/>
        </w:rPr>
        <w:t>Emissão do Relatório Semestral de Desempenho do AC e Relatório Mensal d</w:t>
      </w:r>
      <w:r w:rsidR="0032313B" w:rsidRPr="000004C3">
        <w:rPr>
          <w:rFonts w:cstheme="minorHAnsi"/>
        </w:rPr>
        <w:t>e Atividades d</w:t>
      </w:r>
      <w:r w:rsidRPr="000004C3">
        <w:rPr>
          <w:rFonts w:cstheme="minorHAnsi"/>
        </w:rPr>
        <w:t>o Processo de Comercialização;</w:t>
      </w:r>
    </w:p>
    <w:p w:rsidR="00184B43" w:rsidRPr="000004C3" w:rsidRDefault="00184B43" w:rsidP="001771D0">
      <w:pPr>
        <w:pStyle w:val="Body"/>
        <w:spacing w:line="360" w:lineRule="auto"/>
        <w:ind w:left="1344"/>
        <w:rPr>
          <w:rFonts w:eastAsia="Times New Roman" w:cstheme="minorHAnsi"/>
          <w:lang w:eastAsia="pt-BR"/>
        </w:rPr>
      </w:pPr>
      <w:r w:rsidRPr="000004C3">
        <w:rPr>
          <w:rFonts w:cstheme="minorHAnsi"/>
        </w:rPr>
        <w:t xml:space="preserve">Em paralelo à comercialização, a </w:t>
      </w:r>
      <w:r w:rsidR="00F068CB" w:rsidRPr="000004C3">
        <w:rPr>
          <w:rFonts w:cstheme="minorHAnsi"/>
        </w:rPr>
        <w:t>Pré-Sal Petróleo</w:t>
      </w:r>
      <w:r w:rsidRPr="000004C3">
        <w:rPr>
          <w:rFonts w:cstheme="minorHAnsi"/>
        </w:rPr>
        <w:t xml:space="preserve"> executará as tarefas de Monitoramento, conforme previsto no Projeto Básico.</w:t>
      </w:r>
    </w:p>
    <w:p w:rsidR="00235BA2" w:rsidRPr="000004C3" w:rsidRDefault="00235BA2" w:rsidP="000C6A5A">
      <w:pPr>
        <w:pStyle w:val="Style2"/>
        <w:numPr>
          <w:ilvl w:val="1"/>
          <w:numId w:val="2"/>
        </w:numPr>
        <w:spacing w:before="240"/>
        <w:ind w:left="1072" w:hanging="431"/>
        <w:rPr>
          <w:b/>
          <w:sz w:val="22"/>
          <w:szCs w:val="22"/>
        </w:rPr>
      </w:pPr>
      <w:bookmarkStart w:id="11" w:name="_Toc492825311"/>
      <w:r w:rsidRPr="000004C3">
        <w:rPr>
          <w:b/>
          <w:sz w:val="22"/>
          <w:szCs w:val="22"/>
        </w:rPr>
        <w:t xml:space="preserve">Validações e Cálculos do </w:t>
      </w:r>
      <w:r w:rsidR="00F068CB" w:rsidRPr="000004C3">
        <w:rPr>
          <w:b/>
          <w:sz w:val="22"/>
          <w:szCs w:val="22"/>
        </w:rPr>
        <w:t>SGPP</w:t>
      </w:r>
      <w:bookmarkEnd w:id="11"/>
    </w:p>
    <w:p w:rsidR="00184B43" w:rsidRPr="000004C3" w:rsidRDefault="00184B43" w:rsidP="00184B43">
      <w:pPr>
        <w:spacing w:line="360" w:lineRule="auto"/>
        <w:ind w:left="658" w:firstLine="352"/>
        <w:jc w:val="both"/>
        <w:rPr>
          <w:rFonts w:asciiTheme="minorHAnsi" w:hAnsiTheme="minorHAnsi" w:cstheme="minorHAnsi"/>
          <w:sz w:val="22"/>
          <w:szCs w:val="22"/>
        </w:rPr>
      </w:pPr>
      <w:r w:rsidRPr="000004C3">
        <w:rPr>
          <w:rFonts w:asciiTheme="minorHAnsi" w:hAnsiTheme="minorHAnsi" w:cstheme="minorHAnsi"/>
          <w:sz w:val="22"/>
          <w:szCs w:val="22"/>
        </w:rPr>
        <w:t xml:space="preserve">No processo de Gestão dos Contratos de Comercialização, 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contrata um Agente Comercializador e deve cadastrar o contrato no sistema, além de arquivar a cópia física do contrato. 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deve monitorar e auditar as ações do AC, para isso o sistema deve ser capaz de gerar relatórios relativos ao monitoramento e à auditoria das operações de comercialização e de avaliação </w:t>
      </w:r>
      <w:r w:rsidRPr="000004C3">
        <w:rPr>
          <w:rFonts w:asciiTheme="minorHAnsi" w:hAnsiTheme="minorHAnsi" w:cstheme="minorHAnsi"/>
          <w:sz w:val="22"/>
          <w:szCs w:val="22"/>
        </w:rPr>
        <w:tab/>
        <w:t xml:space="preserve">do AC, com informações como por exemplo, resultado das operações comerciais, alertas para o prazo do contrato e indicadores de performance, etc. </w:t>
      </w:r>
    </w:p>
    <w:p w:rsidR="00184B43" w:rsidRPr="000004C3" w:rsidRDefault="00184B43" w:rsidP="00184B43">
      <w:pPr>
        <w:spacing w:line="360" w:lineRule="auto"/>
        <w:ind w:left="658" w:firstLine="352"/>
        <w:jc w:val="both"/>
        <w:rPr>
          <w:rFonts w:asciiTheme="minorHAnsi" w:hAnsiTheme="minorHAnsi" w:cstheme="minorHAnsi"/>
          <w:sz w:val="22"/>
          <w:szCs w:val="22"/>
        </w:rPr>
      </w:pPr>
      <w:r w:rsidRPr="000004C3">
        <w:rPr>
          <w:rFonts w:asciiTheme="minorHAnsi" w:hAnsiTheme="minorHAnsi" w:cstheme="minorHAnsi"/>
          <w:sz w:val="22"/>
          <w:szCs w:val="22"/>
        </w:rPr>
        <w:t xml:space="preserve">Os embarques são programados de acordo com as regras dos </w:t>
      </w:r>
      <w:r w:rsidRPr="000004C3">
        <w:rPr>
          <w:rFonts w:asciiTheme="minorHAnsi" w:hAnsiTheme="minorHAnsi" w:cstheme="minorHAnsi"/>
          <w:i/>
          <w:sz w:val="22"/>
          <w:szCs w:val="22"/>
        </w:rPr>
        <w:t>Lifting</w:t>
      </w:r>
      <w:r w:rsidRPr="000004C3">
        <w:rPr>
          <w:rFonts w:asciiTheme="minorHAnsi" w:hAnsiTheme="minorHAnsi" w:cstheme="minorHAnsi"/>
          <w:sz w:val="22"/>
          <w:szCs w:val="22"/>
        </w:rPr>
        <w:t xml:space="preserve"> </w:t>
      </w:r>
      <w:proofErr w:type="spellStart"/>
      <w:r w:rsidRPr="000004C3">
        <w:rPr>
          <w:rFonts w:asciiTheme="minorHAnsi" w:hAnsiTheme="minorHAnsi" w:cstheme="minorHAnsi"/>
          <w:i/>
          <w:sz w:val="22"/>
          <w:szCs w:val="22"/>
        </w:rPr>
        <w:t>Agreements</w:t>
      </w:r>
      <w:proofErr w:type="spellEnd"/>
      <w:r w:rsidRPr="000004C3">
        <w:rPr>
          <w:rFonts w:asciiTheme="minorHAnsi" w:hAnsiTheme="minorHAnsi" w:cstheme="minorHAnsi"/>
          <w:sz w:val="22"/>
          <w:szCs w:val="22"/>
        </w:rPr>
        <w:t xml:space="preserve"> (LA) de cada FPSO. Caso não haja LA negociado, é adotado o que estiver descrito nos contratos ou o que for acordado entre os consorciados, para uso enquanto o LA não tem sua aprovação final. </w:t>
      </w:r>
    </w:p>
    <w:p w:rsidR="00184B43" w:rsidRPr="000004C3" w:rsidRDefault="00184B43" w:rsidP="00184B43">
      <w:pPr>
        <w:spacing w:line="360" w:lineRule="auto"/>
        <w:ind w:left="658" w:firstLine="352"/>
        <w:jc w:val="both"/>
        <w:rPr>
          <w:rFonts w:asciiTheme="minorHAnsi" w:hAnsiTheme="minorHAnsi" w:cstheme="minorHAnsi"/>
          <w:sz w:val="22"/>
          <w:szCs w:val="22"/>
        </w:rPr>
      </w:pPr>
      <w:r w:rsidRPr="000004C3">
        <w:rPr>
          <w:rFonts w:asciiTheme="minorHAnsi" w:hAnsiTheme="minorHAnsi" w:cstheme="minorHAnsi"/>
          <w:sz w:val="22"/>
          <w:szCs w:val="22"/>
        </w:rPr>
        <w:t xml:space="preserve">Por ocasião do embarque de cada carga, 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deve emitir via sistema o documento fiscal associado ao embarque. Outro dado a ser conferido são os preços de venda, custos e tributos, recebidos do AC. </w:t>
      </w:r>
    </w:p>
    <w:p w:rsidR="00184B43" w:rsidRPr="000004C3" w:rsidRDefault="00184B43" w:rsidP="00184B43">
      <w:pPr>
        <w:pStyle w:val="Body"/>
        <w:spacing w:line="360" w:lineRule="auto"/>
        <w:ind w:left="658" w:firstLine="360"/>
        <w:rPr>
          <w:rFonts w:eastAsia="Times New Roman" w:cstheme="minorHAnsi"/>
          <w:lang w:eastAsia="pt-BR"/>
        </w:rPr>
      </w:pPr>
      <w:r w:rsidRPr="000004C3">
        <w:rPr>
          <w:rFonts w:cstheme="minorHAnsi"/>
        </w:rPr>
        <w:t xml:space="preserve">Com todos esses dados a </w:t>
      </w:r>
      <w:r w:rsidR="00F068CB" w:rsidRPr="000004C3">
        <w:rPr>
          <w:rFonts w:cstheme="minorHAnsi"/>
        </w:rPr>
        <w:t>Pré-Sal Petróleo</w:t>
      </w:r>
      <w:r w:rsidRPr="000004C3">
        <w:rPr>
          <w:rFonts w:cstheme="minorHAnsi"/>
        </w:rPr>
        <w:t xml:space="preserve"> refaz o cálculo do preço FOB (que é de responsabilidade do AC) para verificar se está correto, aprova e orienta o AC a prosseguir com a transferência do Valor devido à União em conta apropriada.</w:t>
      </w:r>
    </w:p>
    <w:p w:rsidR="00184B43" w:rsidRPr="000004C3" w:rsidRDefault="00184B43" w:rsidP="00193D0A">
      <w:pPr>
        <w:pStyle w:val="Body"/>
        <w:spacing w:line="240" w:lineRule="auto"/>
        <w:ind w:left="658"/>
        <w:rPr>
          <w:rFonts w:eastAsia="Times New Roman" w:cstheme="minorHAnsi"/>
          <w:lang w:eastAsia="pt-BR"/>
        </w:rPr>
      </w:pPr>
      <w:r w:rsidRPr="000004C3">
        <w:rPr>
          <w:rFonts w:cstheme="minorHAnsi"/>
          <w:noProof/>
          <w:lang w:eastAsia="pt-BR"/>
        </w:rPr>
        <w:drawing>
          <wp:inline distT="0" distB="0" distL="0" distR="0" wp14:anchorId="46BDF9BB" wp14:editId="012256F3">
            <wp:extent cx="5800725" cy="55704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39698" cy="570386"/>
                    </a:xfrm>
                    <a:prstGeom prst="rect">
                      <a:avLst/>
                    </a:prstGeom>
                  </pic:spPr>
                </pic:pic>
              </a:graphicData>
            </a:graphic>
          </wp:inline>
        </w:drawing>
      </w:r>
      <w:r w:rsidRPr="000004C3">
        <w:rPr>
          <w:rFonts w:cstheme="minorHAnsi"/>
          <w:sz w:val="20"/>
        </w:rPr>
        <w:t>Figura 2: Validações e Cálculos Pro</w:t>
      </w:r>
      <w:r w:rsidR="009F1C07" w:rsidRPr="000004C3">
        <w:rPr>
          <w:rFonts w:cstheme="minorHAnsi"/>
          <w:sz w:val="20"/>
        </w:rPr>
        <w:t>cesso</w:t>
      </w:r>
    </w:p>
    <w:p w:rsidR="00F47E29" w:rsidRPr="000004C3" w:rsidRDefault="00F47E29" w:rsidP="000C6A5A">
      <w:pPr>
        <w:pStyle w:val="Style2"/>
        <w:numPr>
          <w:ilvl w:val="1"/>
          <w:numId w:val="2"/>
        </w:numPr>
        <w:spacing w:before="240"/>
        <w:ind w:left="1072" w:hanging="431"/>
        <w:rPr>
          <w:b/>
          <w:sz w:val="22"/>
          <w:szCs w:val="22"/>
        </w:rPr>
      </w:pPr>
      <w:bookmarkStart w:id="12" w:name="_Toc492825312"/>
      <w:r w:rsidRPr="000004C3">
        <w:rPr>
          <w:b/>
          <w:sz w:val="22"/>
          <w:szCs w:val="22"/>
        </w:rPr>
        <w:lastRenderedPageBreak/>
        <w:t>Procedimento</w:t>
      </w:r>
      <w:r w:rsidR="00255FA8" w:rsidRPr="000004C3">
        <w:rPr>
          <w:b/>
          <w:sz w:val="22"/>
          <w:szCs w:val="22"/>
        </w:rPr>
        <w:t xml:space="preserve"> </w:t>
      </w:r>
      <w:r w:rsidRPr="000004C3">
        <w:rPr>
          <w:b/>
          <w:sz w:val="22"/>
          <w:szCs w:val="22"/>
        </w:rPr>
        <w:t xml:space="preserve">de </w:t>
      </w:r>
      <w:r w:rsidR="00184B43" w:rsidRPr="000004C3">
        <w:rPr>
          <w:b/>
          <w:sz w:val="22"/>
          <w:szCs w:val="22"/>
        </w:rPr>
        <w:t>Contratação do AC</w:t>
      </w:r>
      <w:bookmarkEnd w:id="12"/>
    </w:p>
    <w:p w:rsidR="00184B43" w:rsidRPr="000004C3" w:rsidRDefault="00184B43" w:rsidP="00184B43">
      <w:pPr>
        <w:spacing w:line="360" w:lineRule="auto"/>
        <w:ind w:left="709" w:firstLine="264"/>
        <w:jc w:val="both"/>
        <w:rPr>
          <w:rFonts w:asciiTheme="minorHAnsi" w:hAnsiTheme="minorHAnsi" w:cstheme="minorHAnsi"/>
          <w:sz w:val="22"/>
          <w:szCs w:val="22"/>
        </w:rPr>
      </w:pPr>
      <w:r w:rsidRPr="000004C3">
        <w:rPr>
          <w:rFonts w:asciiTheme="minorHAnsi" w:hAnsiTheme="minorHAnsi" w:cstheme="minorHAnsi"/>
          <w:sz w:val="22"/>
          <w:szCs w:val="22"/>
        </w:rPr>
        <w:t xml:space="preserve">Está prevista a existência de petróleo da União, a ser comercializado, no segundo semestre do corrente ano de 2017 e, de acordo com os preceitos legais, 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deve contratar um Agente Comercializador para tal atividade, art. 4°, inciso II, a, da Lei nº 12.304/2010.</w:t>
      </w:r>
    </w:p>
    <w:p w:rsidR="00184B43" w:rsidRPr="000004C3" w:rsidRDefault="00184B43" w:rsidP="00184B43">
      <w:pPr>
        <w:spacing w:line="360" w:lineRule="auto"/>
        <w:ind w:left="709" w:firstLine="264"/>
        <w:jc w:val="both"/>
        <w:rPr>
          <w:rFonts w:asciiTheme="minorHAnsi" w:hAnsiTheme="minorHAnsi" w:cstheme="minorHAnsi"/>
          <w:sz w:val="22"/>
          <w:szCs w:val="22"/>
        </w:rPr>
      </w:pPr>
      <w:r w:rsidRPr="000004C3">
        <w:rPr>
          <w:rFonts w:asciiTheme="minorHAnsi" w:hAnsiTheme="minorHAnsi" w:cstheme="minorHAnsi"/>
          <w:sz w:val="22"/>
          <w:szCs w:val="22"/>
        </w:rPr>
        <w:t xml:space="preserve">O processo de Contratação do AC tem como insumos a Política de Comercialização publicada oficialmente pelo CNPE (Conselho Nacional de Política Energética) e as Iniciativas Estratégicas da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referentes a Comercialização de Petróleo e Gás, além das demais legislações vigentes. </w:t>
      </w:r>
    </w:p>
    <w:p w:rsidR="00184B43" w:rsidRPr="000004C3" w:rsidRDefault="00184B43" w:rsidP="00184B43">
      <w:pPr>
        <w:spacing w:line="360" w:lineRule="auto"/>
        <w:ind w:left="709" w:firstLine="264"/>
        <w:jc w:val="both"/>
        <w:rPr>
          <w:rFonts w:asciiTheme="minorHAnsi" w:hAnsiTheme="minorHAnsi" w:cstheme="minorHAnsi"/>
          <w:sz w:val="22"/>
          <w:szCs w:val="22"/>
        </w:rPr>
      </w:pPr>
      <w:r w:rsidRPr="000004C3">
        <w:rPr>
          <w:rFonts w:asciiTheme="minorHAnsi" w:hAnsiTheme="minorHAnsi" w:cstheme="minorHAnsi"/>
          <w:sz w:val="22"/>
          <w:szCs w:val="22"/>
        </w:rPr>
        <w:t xml:space="preserve">A Superintendência de Comercialização de Óleo e Gás Natural da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inicia o processo de Contratação do AC através das seguintes atividades:</w:t>
      </w:r>
    </w:p>
    <w:p w:rsidR="00184B43" w:rsidRPr="000004C3" w:rsidRDefault="00184B43" w:rsidP="00184B43">
      <w:pPr>
        <w:pStyle w:val="Style3"/>
        <w:numPr>
          <w:ilvl w:val="2"/>
          <w:numId w:val="2"/>
        </w:numPr>
        <w:rPr>
          <w:b/>
          <w:sz w:val="22"/>
          <w:szCs w:val="22"/>
        </w:rPr>
      </w:pPr>
      <w:r w:rsidRPr="000004C3">
        <w:rPr>
          <w:b/>
          <w:sz w:val="22"/>
          <w:szCs w:val="22"/>
        </w:rPr>
        <w:t xml:space="preserve">Definição de parâmetros dos contratos com os </w:t>
      </w:r>
      <w:proofErr w:type="spellStart"/>
      <w:r w:rsidRPr="000004C3">
        <w:rPr>
          <w:b/>
          <w:sz w:val="22"/>
          <w:szCs w:val="22"/>
        </w:rPr>
        <w:t>ACs</w:t>
      </w:r>
      <w:proofErr w:type="spellEnd"/>
      <w:r w:rsidRPr="000004C3">
        <w:rPr>
          <w:b/>
          <w:sz w:val="22"/>
          <w:szCs w:val="22"/>
        </w:rPr>
        <w:t xml:space="preserve"> – Atividade 1, ilustrada no Padrão de Processo (Anexo I)</w:t>
      </w:r>
    </w:p>
    <w:p w:rsidR="00184B43" w:rsidRPr="000004C3" w:rsidRDefault="00184B43" w:rsidP="00184B43">
      <w:pPr>
        <w:spacing w:line="360" w:lineRule="auto"/>
        <w:ind w:left="998" w:firstLine="709"/>
        <w:jc w:val="both"/>
        <w:rPr>
          <w:rFonts w:asciiTheme="minorHAnsi" w:hAnsiTheme="minorHAnsi" w:cstheme="minorHAnsi"/>
          <w:sz w:val="22"/>
          <w:szCs w:val="22"/>
        </w:rPr>
      </w:pPr>
      <w:r w:rsidRPr="000004C3">
        <w:rPr>
          <w:rFonts w:asciiTheme="minorHAnsi" w:hAnsiTheme="minorHAnsi" w:cstheme="minorHAnsi"/>
          <w:sz w:val="22"/>
          <w:szCs w:val="22"/>
        </w:rPr>
        <w:t xml:space="preserve">Antes da efetiva contratação dos </w:t>
      </w:r>
      <w:proofErr w:type="spellStart"/>
      <w:r w:rsidRPr="000004C3">
        <w:rPr>
          <w:rFonts w:asciiTheme="minorHAnsi" w:hAnsiTheme="minorHAnsi" w:cstheme="minorHAnsi"/>
          <w:sz w:val="22"/>
          <w:szCs w:val="22"/>
        </w:rPr>
        <w:t>ACs</w:t>
      </w:r>
      <w:proofErr w:type="spellEnd"/>
      <w:r w:rsidRPr="000004C3">
        <w:rPr>
          <w:rFonts w:asciiTheme="minorHAnsi" w:hAnsiTheme="minorHAnsi" w:cstheme="minorHAnsi"/>
          <w:sz w:val="22"/>
          <w:szCs w:val="22"/>
        </w:rPr>
        <w:t>, os responsáveis na SCP definem os parâmetros que devem ser seguidos no (s) contrato (s) a serem firmados, como por exemplo:</w:t>
      </w:r>
    </w:p>
    <w:p w:rsidR="00184B43" w:rsidRPr="000004C3" w:rsidRDefault="00184B43" w:rsidP="00106A68">
      <w:pPr>
        <w:pStyle w:val="PargrafodaLista"/>
        <w:numPr>
          <w:ilvl w:val="0"/>
          <w:numId w:val="10"/>
        </w:numPr>
        <w:spacing w:line="360" w:lineRule="auto"/>
        <w:ind w:left="2067"/>
        <w:jc w:val="both"/>
        <w:rPr>
          <w:rFonts w:asciiTheme="minorHAnsi" w:eastAsia="Times New Roman" w:hAnsiTheme="minorHAnsi" w:cstheme="minorHAnsi"/>
          <w:sz w:val="22"/>
          <w:szCs w:val="22"/>
        </w:rPr>
      </w:pPr>
      <w:r w:rsidRPr="000004C3">
        <w:rPr>
          <w:rFonts w:asciiTheme="minorHAnsi" w:eastAsia="Times New Roman" w:hAnsiTheme="minorHAnsi" w:cstheme="minorHAnsi"/>
          <w:sz w:val="22"/>
          <w:szCs w:val="22"/>
        </w:rPr>
        <w:t>Definir o modelo de comercialização sob o ponto de vista comercial, contábil e tributário;</w:t>
      </w:r>
    </w:p>
    <w:p w:rsidR="00184B43" w:rsidRPr="000004C3" w:rsidRDefault="00184B43" w:rsidP="00106A68">
      <w:pPr>
        <w:pStyle w:val="PargrafodaLista"/>
        <w:numPr>
          <w:ilvl w:val="0"/>
          <w:numId w:val="10"/>
        </w:numPr>
        <w:spacing w:line="360" w:lineRule="auto"/>
        <w:ind w:left="2067"/>
        <w:jc w:val="both"/>
        <w:rPr>
          <w:rFonts w:asciiTheme="minorHAnsi" w:eastAsia="Times New Roman" w:hAnsiTheme="minorHAnsi" w:cstheme="minorHAnsi"/>
          <w:sz w:val="22"/>
          <w:szCs w:val="22"/>
        </w:rPr>
      </w:pPr>
      <w:r w:rsidRPr="000004C3">
        <w:rPr>
          <w:rFonts w:asciiTheme="minorHAnsi" w:eastAsia="Times New Roman" w:hAnsiTheme="minorHAnsi" w:cstheme="minorHAnsi"/>
          <w:sz w:val="22"/>
          <w:szCs w:val="22"/>
        </w:rPr>
        <w:t>Definir os critérios objetivos para a comercialização do petróleo tais como, petróleo de referência, modelo de precificação, período de formação de preço, modelo de controle dos custos logísticos, remuneração do AC, etc.;</w:t>
      </w:r>
    </w:p>
    <w:p w:rsidR="00184B43" w:rsidRPr="000004C3" w:rsidRDefault="00184B43" w:rsidP="00106A68">
      <w:pPr>
        <w:pStyle w:val="PargrafodaLista"/>
        <w:numPr>
          <w:ilvl w:val="0"/>
          <w:numId w:val="10"/>
        </w:numPr>
        <w:spacing w:line="360" w:lineRule="auto"/>
        <w:ind w:left="2067"/>
        <w:jc w:val="both"/>
        <w:rPr>
          <w:rFonts w:asciiTheme="minorHAnsi" w:eastAsia="Times New Roman" w:hAnsiTheme="minorHAnsi" w:cstheme="minorHAnsi"/>
          <w:sz w:val="22"/>
          <w:szCs w:val="22"/>
        </w:rPr>
      </w:pPr>
      <w:r w:rsidRPr="000004C3">
        <w:rPr>
          <w:rFonts w:asciiTheme="minorHAnsi" w:eastAsia="Times New Roman" w:hAnsiTheme="minorHAnsi" w:cstheme="minorHAnsi"/>
          <w:sz w:val="22"/>
          <w:szCs w:val="22"/>
        </w:rPr>
        <w:t>Definir o processo de monitoramento e auditoria, entre outros.</w:t>
      </w:r>
    </w:p>
    <w:p w:rsidR="00184B43" w:rsidRPr="000004C3" w:rsidRDefault="00184B43" w:rsidP="00184B43">
      <w:pPr>
        <w:autoSpaceDE w:val="0"/>
        <w:autoSpaceDN w:val="0"/>
        <w:adjustRightInd w:val="0"/>
        <w:spacing w:line="360" w:lineRule="auto"/>
        <w:ind w:left="1311" w:firstLine="371"/>
        <w:jc w:val="both"/>
        <w:rPr>
          <w:rFonts w:asciiTheme="minorHAnsi" w:hAnsiTheme="minorHAnsi" w:cstheme="minorHAnsi"/>
          <w:sz w:val="22"/>
          <w:szCs w:val="22"/>
        </w:rPr>
      </w:pPr>
      <w:r w:rsidRPr="000004C3">
        <w:rPr>
          <w:rFonts w:asciiTheme="minorHAnsi" w:hAnsiTheme="minorHAnsi" w:cstheme="minorHAnsi"/>
          <w:sz w:val="22"/>
          <w:szCs w:val="22"/>
        </w:rPr>
        <w:t>Todos os parâmetros definidos devem atender aos requisitos da Política de Comercialização vigente.</w:t>
      </w:r>
    </w:p>
    <w:p w:rsidR="003E1865" w:rsidRPr="000004C3" w:rsidRDefault="00184B43" w:rsidP="00184B43">
      <w:pPr>
        <w:pStyle w:val="Style3"/>
        <w:numPr>
          <w:ilvl w:val="2"/>
          <w:numId w:val="2"/>
        </w:numPr>
        <w:rPr>
          <w:b/>
          <w:color w:val="FF0000"/>
          <w:sz w:val="22"/>
          <w:szCs w:val="22"/>
        </w:rPr>
      </w:pPr>
      <w:r w:rsidRPr="000004C3">
        <w:rPr>
          <w:b/>
          <w:sz w:val="22"/>
          <w:szCs w:val="22"/>
        </w:rPr>
        <w:t>Contratação do AC – Atividades 2 a 14, ilustradas no Padrão de Processo (Anexo I)</w:t>
      </w:r>
    </w:p>
    <w:p w:rsidR="0052210A" w:rsidRPr="000004C3" w:rsidRDefault="0052210A" w:rsidP="00184B43">
      <w:pPr>
        <w:spacing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A contratação do AC poderá ser feita por meio de Licitação ou com dispensa de Licitação (Contratação Direta), caso seja a Petrobras, conforme Lei nº 12.351 (Capítulo VI):</w:t>
      </w:r>
    </w:p>
    <w:p w:rsidR="0052210A" w:rsidRPr="000004C3" w:rsidRDefault="0052210A" w:rsidP="00184B43">
      <w:pPr>
        <w:spacing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“Art. 45. Parágrafo Único. A Pré-Sal Petróleo, representando a União, poderá contratar diretamente a Petrobras, dispensada a licitação, como agente comercializador do petróleo, do gás natural e de outros hidrocarbonetos fluidos referidos no caput. ”</w:t>
      </w:r>
    </w:p>
    <w:p w:rsidR="00184B43" w:rsidRPr="000004C3" w:rsidRDefault="00466EA2" w:rsidP="00184B43">
      <w:pPr>
        <w:spacing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A</w:t>
      </w:r>
      <w:r w:rsidR="00184B43" w:rsidRPr="000004C3">
        <w:rPr>
          <w:rFonts w:asciiTheme="minorHAnsi" w:hAnsiTheme="minorHAnsi" w:cstheme="minorHAnsi"/>
          <w:sz w:val="22"/>
          <w:szCs w:val="22"/>
        </w:rPr>
        <w:t>mbos os processos de contratação</w:t>
      </w:r>
      <w:r w:rsidRPr="000004C3">
        <w:rPr>
          <w:rFonts w:asciiTheme="minorHAnsi" w:hAnsiTheme="minorHAnsi" w:cstheme="minorHAnsi"/>
          <w:sz w:val="22"/>
          <w:szCs w:val="22"/>
        </w:rPr>
        <w:t>,</w:t>
      </w:r>
      <w:r w:rsidR="00184B43" w:rsidRPr="000004C3">
        <w:rPr>
          <w:rFonts w:asciiTheme="minorHAnsi" w:hAnsiTheme="minorHAnsi" w:cstheme="minorHAnsi"/>
          <w:sz w:val="22"/>
          <w:szCs w:val="22"/>
        </w:rPr>
        <w:t xml:space="preserve"> citados acima,</w:t>
      </w:r>
      <w:r w:rsidRPr="000004C3">
        <w:rPr>
          <w:rFonts w:asciiTheme="minorHAnsi" w:hAnsiTheme="minorHAnsi" w:cstheme="minorHAnsi"/>
          <w:sz w:val="22"/>
          <w:szCs w:val="22"/>
        </w:rPr>
        <w:t xml:space="preserve"> são regulados pel</w:t>
      </w:r>
      <w:r w:rsidR="00184B43" w:rsidRPr="000004C3">
        <w:rPr>
          <w:rFonts w:asciiTheme="minorHAnsi" w:hAnsiTheme="minorHAnsi" w:cstheme="minorHAnsi"/>
          <w:sz w:val="22"/>
          <w:szCs w:val="22"/>
        </w:rPr>
        <w:t>a Lei nº 13.303</w:t>
      </w:r>
      <w:r w:rsidRPr="000004C3">
        <w:rPr>
          <w:rFonts w:asciiTheme="minorHAnsi" w:hAnsiTheme="minorHAnsi" w:cstheme="minorHAnsi"/>
          <w:sz w:val="22"/>
          <w:szCs w:val="22"/>
        </w:rPr>
        <w:t xml:space="preserve"> e seguem as etapas de:</w:t>
      </w:r>
    </w:p>
    <w:p w:rsidR="00184B43" w:rsidRPr="000004C3" w:rsidRDefault="00184B43"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lastRenderedPageBreak/>
        <w:t>Elaboração d</w:t>
      </w:r>
      <w:r w:rsidR="0032313B" w:rsidRPr="000004C3">
        <w:rPr>
          <w:rFonts w:asciiTheme="minorHAnsi" w:hAnsiTheme="minorHAnsi" w:cstheme="minorHAnsi"/>
          <w:sz w:val="22"/>
          <w:szCs w:val="22"/>
        </w:rPr>
        <w:t>o</w:t>
      </w:r>
      <w:r w:rsidRPr="000004C3">
        <w:rPr>
          <w:rFonts w:asciiTheme="minorHAnsi" w:hAnsiTheme="minorHAnsi" w:cstheme="minorHAnsi"/>
          <w:sz w:val="22"/>
          <w:szCs w:val="22"/>
        </w:rPr>
        <w:t xml:space="preserve"> Projeto Básico</w:t>
      </w:r>
    </w:p>
    <w:p w:rsidR="00184B43" w:rsidRPr="000004C3" w:rsidRDefault="00184B43"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Consulta ao mercado</w:t>
      </w:r>
      <w:r w:rsidR="00466EA2" w:rsidRPr="000004C3">
        <w:rPr>
          <w:rFonts w:asciiTheme="minorHAnsi" w:hAnsiTheme="minorHAnsi" w:cstheme="minorHAnsi"/>
          <w:sz w:val="22"/>
          <w:szCs w:val="22"/>
        </w:rPr>
        <w:t xml:space="preserve"> (Fornecedores potenciais)</w:t>
      </w:r>
    </w:p>
    <w:p w:rsidR="00184B43" w:rsidRPr="000004C3" w:rsidRDefault="00184B43"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 xml:space="preserve">Elaboração de </w:t>
      </w:r>
      <w:r w:rsidR="00466EA2" w:rsidRPr="000004C3">
        <w:rPr>
          <w:rFonts w:asciiTheme="minorHAnsi" w:hAnsiTheme="minorHAnsi" w:cstheme="minorHAnsi"/>
          <w:sz w:val="22"/>
          <w:szCs w:val="22"/>
        </w:rPr>
        <w:t>Minuta do Contrato para Consulta Pública</w:t>
      </w:r>
    </w:p>
    <w:p w:rsidR="00466EA2" w:rsidRPr="000004C3" w:rsidRDefault="00466EA2"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Elaboraç</w:t>
      </w:r>
      <w:r w:rsidR="007C72CA" w:rsidRPr="000004C3">
        <w:rPr>
          <w:rFonts w:asciiTheme="minorHAnsi" w:hAnsiTheme="minorHAnsi" w:cstheme="minorHAnsi"/>
          <w:sz w:val="22"/>
          <w:szCs w:val="22"/>
        </w:rPr>
        <w:t>ão de Minuta de Edital</w:t>
      </w:r>
    </w:p>
    <w:p w:rsidR="007C72CA" w:rsidRPr="000004C3" w:rsidRDefault="007C72CA"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Parecer Jurídico para as Minutas de Contrato e Edital</w:t>
      </w:r>
    </w:p>
    <w:p w:rsidR="007C72CA" w:rsidRPr="000004C3" w:rsidRDefault="007C72CA"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Elaboração de PRD (Proposta de Resolução da Diretoria)</w:t>
      </w:r>
    </w:p>
    <w:p w:rsidR="007C72CA" w:rsidRPr="000004C3" w:rsidRDefault="007C72CA"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Aprovação da Diretoria Executiva (DE) e Conselho de Administração (CA)</w:t>
      </w:r>
    </w:p>
    <w:p w:rsidR="007C72CA" w:rsidRPr="000004C3" w:rsidRDefault="007C72CA" w:rsidP="00106A68">
      <w:pPr>
        <w:pStyle w:val="PargrafodaLista"/>
        <w:numPr>
          <w:ilvl w:val="0"/>
          <w:numId w:val="18"/>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Autorização para o Processo Licitatório</w:t>
      </w:r>
    </w:p>
    <w:p w:rsidR="00184B43" w:rsidRPr="000004C3" w:rsidRDefault="00184B43" w:rsidP="007C72CA">
      <w:pPr>
        <w:spacing w:after="200" w:line="360" w:lineRule="auto"/>
        <w:ind w:left="1780"/>
        <w:jc w:val="both"/>
        <w:rPr>
          <w:rFonts w:asciiTheme="minorHAnsi" w:hAnsiTheme="minorHAnsi" w:cstheme="minorHAnsi"/>
          <w:sz w:val="22"/>
          <w:szCs w:val="22"/>
        </w:rPr>
      </w:pPr>
      <w:r w:rsidRPr="000004C3">
        <w:rPr>
          <w:rFonts w:asciiTheme="minorHAnsi" w:hAnsiTheme="minorHAnsi" w:cstheme="minorHAnsi"/>
          <w:sz w:val="22"/>
          <w:szCs w:val="22"/>
        </w:rPr>
        <w:t xml:space="preserve">E apenas para o caso de </w:t>
      </w:r>
      <w:r w:rsidR="007C72CA" w:rsidRPr="000004C3">
        <w:rPr>
          <w:rFonts w:asciiTheme="minorHAnsi" w:hAnsiTheme="minorHAnsi" w:cstheme="minorHAnsi"/>
          <w:sz w:val="22"/>
          <w:szCs w:val="22"/>
        </w:rPr>
        <w:t>Licitação (exceto Petrobras)</w:t>
      </w:r>
      <w:r w:rsidRPr="000004C3">
        <w:rPr>
          <w:rFonts w:asciiTheme="minorHAnsi" w:hAnsiTheme="minorHAnsi" w:cstheme="minorHAnsi"/>
          <w:sz w:val="22"/>
          <w:szCs w:val="22"/>
        </w:rPr>
        <w:t>:</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Publicação e anúncio de Pregão</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Elaboração de Propostas e envio de Questionamentos</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Realização da Primeira Sessão Pública de Pregão Eletrônico</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Análise da Documentação recebida (Área Técnica)</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Sessão Pública para solicitação de documentação em vias físicas originais</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Análise da documentação original</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Agendamento de Sessão Pública para divulgação do Resultado</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Divulgação de Vencedor do Pregão e Intenção de Recursos</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Apresentação de Recursos</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 xml:space="preserve">Apresentação de </w:t>
      </w:r>
      <w:proofErr w:type="spellStart"/>
      <w:r w:rsidRPr="000004C3">
        <w:rPr>
          <w:rFonts w:asciiTheme="minorHAnsi" w:hAnsiTheme="minorHAnsi" w:cstheme="minorHAnsi"/>
          <w:sz w:val="22"/>
          <w:szCs w:val="22"/>
        </w:rPr>
        <w:t>Contra-razões</w:t>
      </w:r>
      <w:proofErr w:type="spellEnd"/>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Decisão da PPSA sobre os Recursos</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Elaboração de PRD (Proposta de Resolução de Diretoria)</w:t>
      </w:r>
    </w:p>
    <w:p w:rsidR="007C72CA" w:rsidRPr="000004C3" w:rsidRDefault="007C72CA" w:rsidP="00106A68">
      <w:pPr>
        <w:pStyle w:val="PargrafodaLista"/>
        <w:numPr>
          <w:ilvl w:val="0"/>
          <w:numId w:val="19"/>
        </w:numPr>
        <w:spacing w:after="200" w:line="360" w:lineRule="auto"/>
        <w:jc w:val="both"/>
        <w:rPr>
          <w:rFonts w:asciiTheme="minorHAnsi" w:hAnsiTheme="minorHAnsi" w:cstheme="minorHAnsi"/>
          <w:sz w:val="22"/>
          <w:szCs w:val="22"/>
        </w:rPr>
      </w:pPr>
      <w:r w:rsidRPr="000004C3">
        <w:rPr>
          <w:rFonts w:asciiTheme="minorHAnsi" w:hAnsiTheme="minorHAnsi" w:cstheme="minorHAnsi"/>
          <w:sz w:val="22"/>
          <w:szCs w:val="22"/>
        </w:rPr>
        <w:t>Aprovação da DE e CA</w:t>
      </w:r>
    </w:p>
    <w:p w:rsidR="00C723FE" w:rsidRPr="000004C3" w:rsidRDefault="00C723FE" w:rsidP="00C723FE">
      <w:pPr>
        <w:pStyle w:val="Style3"/>
        <w:numPr>
          <w:ilvl w:val="2"/>
          <w:numId w:val="2"/>
        </w:numPr>
        <w:rPr>
          <w:b/>
          <w:sz w:val="22"/>
          <w:szCs w:val="22"/>
        </w:rPr>
      </w:pPr>
      <w:r w:rsidRPr="000004C3">
        <w:rPr>
          <w:b/>
          <w:sz w:val="22"/>
          <w:szCs w:val="22"/>
        </w:rPr>
        <w:t>Contratação efetiva do AC e assinatura do contrato – Atividades 15 à 18, ilustradas no Padrão de Processo (Anexo I)</w:t>
      </w:r>
    </w:p>
    <w:p w:rsidR="00C723FE" w:rsidRPr="000004C3" w:rsidRDefault="00C723FE" w:rsidP="00C723FE">
      <w:pPr>
        <w:spacing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Após o Processo de Licitação ou Contratação Direta da Petrobras, os responsáveis na SCP (ou a Comissão de Licitação) devem preparar uma Nota Técnica e, se necessário, uma PRD para que seja submetida à aprovação da DE, que levará ao CA, quando cabível. </w:t>
      </w:r>
    </w:p>
    <w:p w:rsidR="00152E0C" w:rsidRPr="000004C3" w:rsidRDefault="00152E0C" w:rsidP="00C723FE">
      <w:pPr>
        <w:spacing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Após a aprovação da DE e CA, a autorização para Contratação é formalizada e o contrato enviado para Assinatura. </w:t>
      </w:r>
    </w:p>
    <w:p w:rsidR="00152E0C" w:rsidRPr="000004C3" w:rsidRDefault="00152E0C" w:rsidP="00C723FE">
      <w:pPr>
        <w:spacing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lastRenderedPageBreak/>
        <w:t>Todos os documentos devem ser armazenados no SGPP.</w:t>
      </w:r>
    </w:p>
    <w:p w:rsidR="00C723FE" w:rsidRPr="000004C3" w:rsidRDefault="00C723FE" w:rsidP="000C6A5A">
      <w:pPr>
        <w:pStyle w:val="Style2"/>
        <w:numPr>
          <w:ilvl w:val="1"/>
          <w:numId w:val="2"/>
        </w:numPr>
        <w:spacing w:before="240"/>
        <w:ind w:left="1072" w:hanging="431"/>
        <w:rPr>
          <w:b/>
          <w:sz w:val="22"/>
          <w:szCs w:val="22"/>
        </w:rPr>
      </w:pPr>
      <w:bookmarkStart w:id="13" w:name="_Toc492825313"/>
      <w:r w:rsidRPr="000004C3">
        <w:rPr>
          <w:b/>
          <w:sz w:val="22"/>
          <w:szCs w:val="22"/>
        </w:rPr>
        <w:t>Procedimento de Gestão dos Contratos para Comercialização do Petróleo</w:t>
      </w:r>
      <w:bookmarkEnd w:id="13"/>
    </w:p>
    <w:p w:rsidR="00C723FE" w:rsidRPr="000004C3" w:rsidRDefault="00C723FE" w:rsidP="00C723FE">
      <w:pPr>
        <w:spacing w:line="360" w:lineRule="auto"/>
        <w:ind w:left="641" w:firstLine="352"/>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O processo de Gestão dos Contratos para Comercialização do Petróleo utiliza insumos e gatilhos, conforme segue:</w:t>
      </w:r>
    </w:p>
    <w:p w:rsidR="00C723FE" w:rsidRPr="000004C3" w:rsidRDefault="00C723FE" w:rsidP="00C723FE">
      <w:pPr>
        <w:spacing w:line="360" w:lineRule="auto"/>
        <w:ind w:left="284" w:firstLine="709"/>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Insumos:</w:t>
      </w:r>
    </w:p>
    <w:p w:rsidR="00C723FE" w:rsidRPr="000004C3" w:rsidRDefault="00C723FE" w:rsidP="00106A68">
      <w:pPr>
        <w:pStyle w:val="PargrafodaLista"/>
        <w:numPr>
          <w:ilvl w:val="0"/>
          <w:numId w:val="11"/>
        </w:numPr>
        <w:spacing w:after="200" w:line="360" w:lineRule="auto"/>
        <w:ind w:left="1713"/>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Processo de Contratação do AC</w:t>
      </w:r>
    </w:p>
    <w:p w:rsidR="00C723FE" w:rsidRPr="000004C3" w:rsidRDefault="00C723FE" w:rsidP="00C723FE">
      <w:pPr>
        <w:pStyle w:val="PargrafodaLista"/>
        <w:spacing w:line="360" w:lineRule="auto"/>
        <w:ind w:left="1713"/>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O insumo representado por esse processo refere-se ao contrato (disponível no </w:t>
      </w:r>
      <w:r w:rsidR="00F068CB" w:rsidRPr="000004C3">
        <w:rPr>
          <w:rFonts w:asciiTheme="minorHAnsi" w:hAnsiTheme="minorHAnsi" w:cstheme="minorHAnsi"/>
          <w:color w:val="000000" w:themeColor="text1"/>
          <w:sz w:val="22"/>
          <w:szCs w:val="22"/>
        </w:rPr>
        <w:t>SGPP</w:t>
      </w:r>
      <w:r w:rsidRPr="000004C3">
        <w:rPr>
          <w:rFonts w:asciiTheme="minorHAnsi" w:hAnsiTheme="minorHAnsi" w:cstheme="minorHAnsi"/>
          <w:color w:val="000000" w:themeColor="text1"/>
          <w:sz w:val="22"/>
          <w:szCs w:val="22"/>
        </w:rPr>
        <w:t>) com AC (s) para Comercialização do petróleo.</w:t>
      </w:r>
    </w:p>
    <w:p w:rsidR="00C723FE" w:rsidRPr="000004C3" w:rsidRDefault="00C723FE" w:rsidP="00106A68">
      <w:pPr>
        <w:pStyle w:val="PargrafodaLista"/>
        <w:numPr>
          <w:ilvl w:val="0"/>
          <w:numId w:val="11"/>
        </w:numPr>
        <w:spacing w:after="200" w:line="360" w:lineRule="auto"/>
        <w:ind w:left="1713"/>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Processo de Cálculo do Excedente em Óleo da União (CACP)</w:t>
      </w:r>
    </w:p>
    <w:p w:rsidR="00C723FE" w:rsidRPr="000004C3" w:rsidRDefault="00C723FE" w:rsidP="00C723FE">
      <w:pPr>
        <w:pStyle w:val="PargrafodaLista"/>
        <w:spacing w:line="360" w:lineRule="auto"/>
        <w:ind w:left="1353" w:firstLine="349"/>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O insumo representado por esse processo refere-se ao volume de óleo disponível para União por CPP e AIP, e formalizado pelo Relatório do Excedente em Óleo da</w:t>
      </w:r>
      <w:r w:rsidR="00D42201" w:rsidRPr="000004C3">
        <w:rPr>
          <w:rFonts w:asciiTheme="minorHAnsi" w:hAnsiTheme="minorHAnsi" w:cstheme="minorHAnsi"/>
          <w:color w:val="000000" w:themeColor="text1"/>
          <w:sz w:val="22"/>
          <w:szCs w:val="22"/>
        </w:rPr>
        <w:t xml:space="preserve"> União (para o caso de CPP) e pelo</w:t>
      </w:r>
      <w:r w:rsidRPr="000004C3">
        <w:rPr>
          <w:rFonts w:asciiTheme="minorHAnsi" w:hAnsiTheme="minorHAnsi" w:cstheme="minorHAnsi"/>
          <w:color w:val="000000" w:themeColor="text1"/>
          <w:sz w:val="22"/>
          <w:szCs w:val="22"/>
        </w:rPr>
        <w:t xml:space="preserve"> Relatório do Volume de Óleo da União (para o caso de AIP), disponibilizado no </w:t>
      </w:r>
      <w:r w:rsidR="00F068CB" w:rsidRPr="000004C3">
        <w:rPr>
          <w:rFonts w:asciiTheme="minorHAnsi" w:hAnsiTheme="minorHAnsi" w:cstheme="minorHAnsi"/>
          <w:color w:val="000000" w:themeColor="text1"/>
          <w:sz w:val="22"/>
          <w:szCs w:val="22"/>
        </w:rPr>
        <w:t>SGPP</w:t>
      </w:r>
      <w:r w:rsidRPr="000004C3">
        <w:rPr>
          <w:rFonts w:asciiTheme="minorHAnsi" w:hAnsiTheme="minorHAnsi" w:cstheme="minorHAnsi"/>
          <w:color w:val="000000" w:themeColor="text1"/>
          <w:sz w:val="22"/>
          <w:szCs w:val="22"/>
        </w:rPr>
        <w:t xml:space="preserve"> pela CACP e GE de </w:t>
      </w:r>
      <w:proofErr w:type="spellStart"/>
      <w:r w:rsidRPr="000004C3">
        <w:rPr>
          <w:rFonts w:asciiTheme="minorHAnsi" w:hAnsiTheme="minorHAnsi" w:cstheme="minorHAnsi"/>
          <w:color w:val="000000" w:themeColor="text1"/>
          <w:sz w:val="22"/>
          <w:szCs w:val="22"/>
        </w:rPr>
        <w:t>AIPs</w:t>
      </w:r>
      <w:proofErr w:type="spellEnd"/>
      <w:r w:rsidRPr="000004C3">
        <w:rPr>
          <w:rFonts w:asciiTheme="minorHAnsi" w:hAnsiTheme="minorHAnsi" w:cstheme="minorHAnsi"/>
          <w:color w:val="000000" w:themeColor="text1"/>
          <w:sz w:val="22"/>
          <w:szCs w:val="22"/>
        </w:rPr>
        <w:t>.</w:t>
      </w:r>
    </w:p>
    <w:p w:rsidR="00FD6739" w:rsidRPr="000004C3" w:rsidRDefault="00FD6739" w:rsidP="00106A68">
      <w:pPr>
        <w:pStyle w:val="PargrafodaLista"/>
        <w:numPr>
          <w:ilvl w:val="0"/>
          <w:numId w:val="11"/>
        </w:numPr>
        <w:spacing w:line="360" w:lineRule="auto"/>
        <w:ind w:left="170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Processo de EGV</w:t>
      </w:r>
    </w:p>
    <w:p w:rsidR="00152E0C" w:rsidRPr="000004C3" w:rsidRDefault="00152E0C" w:rsidP="00D42201">
      <w:pPr>
        <w:spacing w:line="360" w:lineRule="auto"/>
        <w:ind w:left="1416" w:firstLine="292"/>
        <w:jc w:val="both"/>
        <w:rPr>
          <w:rFonts w:asciiTheme="minorHAnsi" w:hAnsiTheme="minorHAnsi" w:cstheme="minorHAnsi"/>
          <w:color w:val="000000" w:themeColor="text1"/>
          <w:sz w:val="22"/>
          <w:szCs w:val="22"/>
          <w:highlight w:val="yellow"/>
        </w:rPr>
      </w:pPr>
      <w:r w:rsidRPr="000004C3">
        <w:rPr>
          <w:rFonts w:asciiTheme="minorHAnsi" w:hAnsiTheme="minorHAnsi" w:cstheme="minorHAnsi"/>
          <w:color w:val="000000" w:themeColor="text1"/>
          <w:sz w:val="22"/>
          <w:szCs w:val="22"/>
        </w:rPr>
        <w:t>O insumo representado por esse processo refere-se aos volumes (óleo e gás natural) transferidos pelo Operador e Parceiros à União (quando Credor</w:t>
      </w:r>
      <w:r w:rsidR="00D42201" w:rsidRPr="000004C3">
        <w:rPr>
          <w:rFonts w:asciiTheme="minorHAnsi" w:hAnsiTheme="minorHAnsi" w:cstheme="minorHAnsi"/>
          <w:color w:val="000000" w:themeColor="text1"/>
          <w:sz w:val="22"/>
          <w:szCs w:val="22"/>
        </w:rPr>
        <w:t>a</w:t>
      </w:r>
      <w:r w:rsidRPr="000004C3">
        <w:rPr>
          <w:rFonts w:asciiTheme="minorHAnsi" w:hAnsiTheme="minorHAnsi" w:cstheme="minorHAnsi"/>
          <w:color w:val="000000" w:themeColor="text1"/>
          <w:sz w:val="22"/>
          <w:szCs w:val="22"/>
        </w:rPr>
        <w:t>) e a transferência da parcela de óleo e gás natural devida pela União ao Operador e Parceiros, volume comprometido (quando Devedor</w:t>
      </w:r>
      <w:r w:rsidR="00D42201" w:rsidRPr="000004C3">
        <w:rPr>
          <w:rFonts w:asciiTheme="minorHAnsi" w:hAnsiTheme="minorHAnsi" w:cstheme="minorHAnsi"/>
          <w:color w:val="000000" w:themeColor="text1"/>
          <w:sz w:val="22"/>
          <w:szCs w:val="22"/>
        </w:rPr>
        <w:t>a</w:t>
      </w:r>
      <w:r w:rsidRPr="000004C3">
        <w:rPr>
          <w:rFonts w:asciiTheme="minorHAnsi" w:hAnsiTheme="minorHAnsi" w:cstheme="minorHAnsi"/>
          <w:color w:val="000000" w:themeColor="text1"/>
          <w:sz w:val="22"/>
          <w:szCs w:val="22"/>
        </w:rPr>
        <w:t>).</w:t>
      </w:r>
    </w:p>
    <w:p w:rsidR="00C723FE" w:rsidRPr="000004C3" w:rsidRDefault="00C723FE" w:rsidP="00C723FE">
      <w:pPr>
        <w:spacing w:line="360" w:lineRule="auto"/>
        <w:ind w:left="284" w:firstLine="709"/>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Gatilho:</w:t>
      </w:r>
    </w:p>
    <w:p w:rsidR="00C723FE" w:rsidRPr="000004C3" w:rsidRDefault="00152E0C" w:rsidP="00106A68">
      <w:pPr>
        <w:pStyle w:val="PargrafodaLista"/>
        <w:numPr>
          <w:ilvl w:val="2"/>
          <w:numId w:val="9"/>
        </w:numPr>
        <w:spacing w:after="200" w:line="360" w:lineRule="auto"/>
        <w:ind w:left="1712"/>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Dados carregados </w:t>
      </w:r>
      <w:r w:rsidR="00C723FE" w:rsidRPr="000004C3">
        <w:rPr>
          <w:rFonts w:asciiTheme="minorHAnsi" w:hAnsiTheme="minorHAnsi" w:cstheme="minorHAnsi"/>
          <w:color w:val="000000" w:themeColor="text1"/>
          <w:sz w:val="22"/>
          <w:szCs w:val="22"/>
        </w:rPr>
        <w:t xml:space="preserve">pelo Operador </w:t>
      </w:r>
      <w:r w:rsidRPr="000004C3">
        <w:rPr>
          <w:rFonts w:asciiTheme="minorHAnsi" w:hAnsiTheme="minorHAnsi" w:cstheme="minorHAnsi"/>
          <w:color w:val="000000" w:themeColor="text1"/>
          <w:sz w:val="22"/>
          <w:szCs w:val="22"/>
        </w:rPr>
        <w:t xml:space="preserve">na Base de Dados de Entrada do SGPP referente ao </w:t>
      </w:r>
      <w:r w:rsidR="00C723FE" w:rsidRPr="000004C3">
        <w:rPr>
          <w:rFonts w:asciiTheme="minorHAnsi" w:hAnsiTheme="minorHAnsi" w:cstheme="minorHAnsi"/>
          <w:color w:val="000000" w:themeColor="text1"/>
          <w:sz w:val="22"/>
          <w:szCs w:val="22"/>
        </w:rPr>
        <w:t>Controle de Volume de Óleo dos Consorciados e Programação de Embarque por FPSO</w:t>
      </w:r>
    </w:p>
    <w:p w:rsidR="00C723FE" w:rsidRPr="000004C3" w:rsidRDefault="00C723FE" w:rsidP="00C723FE">
      <w:pPr>
        <w:pStyle w:val="PargrafodaLista"/>
        <w:spacing w:line="360" w:lineRule="auto"/>
        <w:ind w:left="993" w:firstLine="360"/>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Com posse desses insumos e gatilhos, o processo de Gestão dos Contratos para Comercialização se inicia da seguinte forma:</w:t>
      </w:r>
    </w:p>
    <w:p w:rsidR="00C723FE" w:rsidRPr="000004C3" w:rsidRDefault="00152E0C" w:rsidP="00C723FE">
      <w:pPr>
        <w:pStyle w:val="Style3"/>
        <w:numPr>
          <w:ilvl w:val="2"/>
          <w:numId w:val="2"/>
        </w:numPr>
        <w:rPr>
          <w:b/>
          <w:sz w:val="22"/>
          <w:szCs w:val="22"/>
        </w:rPr>
      </w:pPr>
      <w:r w:rsidRPr="000004C3">
        <w:rPr>
          <w:b/>
          <w:sz w:val="22"/>
          <w:szCs w:val="22"/>
        </w:rPr>
        <w:t xml:space="preserve">Upload </w:t>
      </w:r>
      <w:r w:rsidR="00C723FE" w:rsidRPr="000004C3">
        <w:rPr>
          <w:b/>
          <w:sz w:val="22"/>
          <w:szCs w:val="22"/>
        </w:rPr>
        <w:t>de dados da produção pelo Operador – Atividades 1 e 2, ilustradas no Padrão de Processo (Anexo I)</w:t>
      </w:r>
    </w:p>
    <w:p w:rsidR="00C723FE" w:rsidRPr="000004C3" w:rsidRDefault="00C723FE" w:rsidP="00C723FE">
      <w:pPr>
        <w:spacing w:line="360" w:lineRule="auto"/>
        <w:ind w:left="998" w:firstLine="360"/>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 estimativa de produção de óleo para M-2, M-1 e M é </w:t>
      </w:r>
      <w:r w:rsidR="00152E0C" w:rsidRPr="000004C3">
        <w:rPr>
          <w:rFonts w:asciiTheme="minorHAnsi" w:hAnsiTheme="minorHAnsi" w:cstheme="minorHAnsi"/>
          <w:color w:val="000000" w:themeColor="text1"/>
          <w:sz w:val="22"/>
          <w:szCs w:val="22"/>
        </w:rPr>
        <w:t>carregada</w:t>
      </w:r>
      <w:r w:rsidRPr="000004C3">
        <w:rPr>
          <w:rFonts w:asciiTheme="minorHAnsi" w:hAnsiTheme="minorHAnsi" w:cstheme="minorHAnsi"/>
          <w:color w:val="000000" w:themeColor="text1"/>
          <w:sz w:val="22"/>
          <w:szCs w:val="22"/>
        </w:rPr>
        <w:t xml:space="preserve"> pelo Operador </w:t>
      </w:r>
      <w:r w:rsidR="00152E0C" w:rsidRPr="000004C3">
        <w:rPr>
          <w:rFonts w:asciiTheme="minorHAnsi" w:hAnsiTheme="minorHAnsi" w:cstheme="minorHAnsi"/>
          <w:color w:val="000000" w:themeColor="text1"/>
          <w:sz w:val="22"/>
          <w:szCs w:val="22"/>
        </w:rPr>
        <w:t xml:space="preserve">na Base de Dados de Entrada do SGPP </w:t>
      </w:r>
      <w:r w:rsidRPr="000004C3">
        <w:rPr>
          <w:rFonts w:asciiTheme="minorHAnsi" w:hAnsiTheme="minorHAnsi" w:cstheme="minorHAnsi"/>
          <w:color w:val="000000" w:themeColor="text1"/>
          <w:sz w:val="22"/>
          <w:szCs w:val="22"/>
        </w:rPr>
        <w:t xml:space="preserve">para </w:t>
      </w:r>
      <w:r w:rsidR="00152E0C" w:rsidRPr="000004C3">
        <w:rPr>
          <w:rFonts w:asciiTheme="minorHAnsi" w:hAnsiTheme="minorHAnsi" w:cstheme="minorHAnsi"/>
          <w:color w:val="000000" w:themeColor="text1"/>
          <w:sz w:val="22"/>
          <w:szCs w:val="22"/>
        </w:rPr>
        <w:t xml:space="preserve">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em M-2. O sistema deverá efetuar validação automática dos dados seguindo as premissas a serem definidas pela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considerando:</w:t>
      </w:r>
    </w:p>
    <w:p w:rsidR="00442874" w:rsidRPr="000004C3" w:rsidRDefault="00442874" w:rsidP="00106A68">
      <w:pPr>
        <w:pStyle w:val="PargrafodaLista"/>
        <w:numPr>
          <w:ilvl w:val="0"/>
          <w:numId w:val="12"/>
        </w:numPr>
        <w:spacing w:after="200" w:line="360" w:lineRule="auto"/>
        <w:ind w:left="1718"/>
        <w:jc w:val="both"/>
        <w:rPr>
          <w:rFonts w:asciiTheme="minorHAnsi" w:hAnsiTheme="minorHAnsi" w:cstheme="minorHAnsi"/>
          <w:sz w:val="22"/>
          <w:szCs w:val="22"/>
        </w:rPr>
      </w:pPr>
      <w:r w:rsidRPr="000004C3">
        <w:rPr>
          <w:rFonts w:asciiTheme="minorHAnsi" w:hAnsiTheme="minorHAnsi" w:cstheme="minorHAnsi"/>
          <w:sz w:val="22"/>
          <w:szCs w:val="22"/>
        </w:rPr>
        <w:lastRenderedPageBreak/>
        <w:t>Verificar se todos os arquivos planejados (acordados anteriormente) inseridos no SGPP foram carregados e possuem informações (não são arquivos vazios)</w:t>
      </w:r>
      <w:r w:rsidR="00152E0C" w:rsidRPr="000004C3">
        <w:rPr>
          <w:rFonts w:asciiTheme="minorHAnsi" w:hAnsiTheme="minorHAnsi" w:cstheme="minorHAnsi"/>
          <w:sz w:val="22"/>
          <w:szCs w:val="22"/>
        </w:rPr>
        <w:t>; e</w:t>
      </w:r>
    </w:p>
    <w:p w:rsidR="00442874" w:rsidRPr="000004C3" w:rsidRDefault="00442874" w:rsidP="00106A68">
      <w:pPr>
        <w:pStyle w:val="PargrafodaLista"/>
        <w:numPr>
          <w:ilvl w:val="0"/>
          <w:numId w:val="12"/>
        </w:numPr>
        <w:spacing w:after="200" w:line="360" w:lineRule="auto"/>
        <w:ind w:left="1718"/>
        <w:jc w:val="both"/>
        <w:rPr>
          <w:rFonts w:asciiTheme="minorHAnsi" w:hAnsiTheme="minorHAnsi" w:cstheme="minorHAnsi"/>
          <w:sz w:val="22"/>
          <w:szCs w:val="22"/>
        </w:rPr>
      </w:pPr>
      <w:r w:rsidRPr="000004C3">
        <w:rPr>
          <w:rFonts w:asciiTheme="minorHAnsi" w:hAnsiTheme="minorHAnsi" w:cstheme="minorHAnsi"/>
          <w:sz w:val="22"/>
          <w:szCs w:val="22"/>
        </w:rPr>
        <w:t>Verificar se o conteúdo de todos os arquivos possui seus campos preenchidos no formato, unidade e precisão, conforme critérios acordados.</w:t>
      </w:r>
    </w:p>
    <w:p w:rsidR="00C723FE" w:rsidRPr="000004C3" w:rsidRDefault="00C723FE" w:rsidP="00C723FE">
      <w:pPr>
        <w:spacing w:line="360" w:lineRule="auto"/>
        <w:ind w:left="99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ab/>
        <w:t xml:space="preserve">O </w:t>
      </w:r>
      <w:r w:rsidRPr="000004C3">
        <w:rPr>
          <w:rFonts w:asciiTheme="minorHAnsi" w:hAnsiTheme="minorHAnsi" w:cstheme="minorHAnsi"/>
          <w:i/>
          <w:color w:val="000000" w:themeColor="text1"/>
          <w:sz w:val="22"/>
          <w:szCs w:val="22"/>
        </w:rPr>
        <w:t xml:space="preserve">Lifting </w:t>
      </w:r>
      <w:proofErr w:type="spellStart"/>
      <w:r w:rsidRPr="000004C3">
        <w:rPr>
          <w:rFonts w:asciiTheme="minorHAnsi" w:hAnsiTheme="minorHAnsi" w:cstheme="minorHAnsi"/>
          <w:i/>
          <w:color w:val="000000" w:themeColor="text1"/>
          <w:sz w:val="22"/>
          <w:szCs w:val="22"/>
        </w:rPr>
        <w:t>Agreement</w:t>
      </w:r>
      <w:proofErr w:type="spellEnd"/>
      <w:r w:rsidRPr="000004C3">
        <w:rPr>
          <w:rFonts w:asciiTheme="minorHAnsi" w:hAnsiTheme="minorHAnsi" w:cstheme="minorHAnsi"/>
          <w:color w:val="000000" w:themeColor="text1"/>
          <w:sz w:val="22"/>
          <w:szCs w:val="22"/>
        </w:rPr>
        <w:t xml:space="preserve"> define que haja o envio pelo Operador da produção prevista do óleo, bem como da produção diária realizada (Cronograma contendo os prazos das atividades referentes a esse procedimento detalhados </w:t>
      </w:r>
      <w:r w:rsidRPr="000004C3">
        <w:rPr>
          <w:rFonts w:asciiTheme="minorHAnsi" w:hAnsiTheme="minorHAnsi" w:cstheme="minorHAnsi"/>
          <w:sz w:val="22"/>
          <w:szCs w:val="22"/>
        </w:rPr>
        <w:t xml:space="preserve">no Anexo V deste </w:t>
      </w:r>
      <w:r w:rsidRPr="000004C3">
        <w:rPr>
          <w:rFonts w:asciiTheme="minorHAnsi" w:hAnsiTheme="minorHAnsi" w:cstheme="minorHAnsi"/>
          <w:color w:val="000000" w:themeColor="text1"/>
          <w:sz w:val="22"/>
          <w:szCs w:val="22"/>
        </w:rPr>
        <w:t>documento) para cada FPSO.</w:t>
      </w:r>
    </w:p>
    <w:p w:rsidR="00C723FE" w:rsidRPr="000004C3" w:rsidRDefault="00C723FE" w:rsidP="00C723F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 SCP deve verificar se o Operador </w:t>
      </w:r>
      <w:r w:rsidR="00152E0C" w:rsidRPr="000004C3">
        <w:rPr>
          <w:rFonts w:asciiTheme="minorHAnsi" w:hAnsiTheme="minorHAnsi" w:cstheme="minorHAnsi"/>
          <w:color w:val="000000" w:themeColor="text1"/>
          <w:sz w:val="22"/>
          <w:szCs w:val="22"/>
        </w:rPr>
        <w:t xml:space="preserve">disponibilizou </w:t>
      </w:r>
      <w:r w:rsidRPr="000004C3">
        <w:rPr>
          <w:rFonts w:asciiTheme="minorHAnsi" w:hAnsiTheme="minorHAnsi" w:cstheme="minorHAnsi"/>
          <w:color w:val="000000" w:themeColor="text1"/>
          <w:sz w:val="22"/>
          <w:szCs w:val="22"/>
        </w:rPr>
        <w:t xml:space="preserve">tais informações e acioná-lo caso não </w:t>
      </w:r>
      <w:r w:rsidR="00152E0C" w:rsidRPr="000004C3">
        <w:rPr>
          <w:rFonts w:asciiTheme="minorHAnsi" w:hAnsiTheme="minorHAnsi" w:cstheme="minorHAnsi"/>
          <w:color w:val="000000" w:themeColor="text1"/>
          <w:sz w:val="22"/>
          <w:szCs w:val="22"/>
        </w:rPr>
        <w:t>disponibilize</w:t>
      </w:r>
      <w:r w:rsidRPr="000004C3">
        <w:rPr>
          <w:rFonts w:asciiTheme="minorHAnsi" w:hAnsiTheme="minorHAnsi" w:cstheme="minorHAnsi"/>
          <w:color w:val="000000" w:themeColor="text1"/>
          <w:sz w:val="22"/>
          <w:szCs w:val="22"/>
        </w:rPr>
        <w:t xml:space="preserve"> no prazo estipulado.</w:t>
      </w:r>
    </w:p>
    <w:p w:rsidR="00C723FE" w:rsidRPr="000004C3" w:rsidRDefault="00C723FE" w:rsidP="00C723FE">
      <w:pPr>
        <w:pStyle w:val="Style3"/>
        <w:numPr>
          <w:ilvl w:val="2"/>
          <w:numId w:val="2"/>
        </w:numPr>
        <w:rPr>
          <w:b/>
          <w:sz w:val="22"/>
          <w:szCs w:val="22"/>
        </w:rPr>
      </w:pPr>
      <w:r w:rsidRPr="000004C3">
        <w:rPr>
          <w:b/>
          <w:sz w:val="22"/>
          <w:szCs w:val="22"/>
        </w:rPr>
        <w:t>Recebimento e arquivo de informações pela Superintendência de Comercialização de Óleo e Gás – Atividades 3 e 4, ilustradas no Padrão de Processo (Anexo I)</w:t>
      </w:r>
    </w:p>
    <w:p w:rsidR="00C723FE" w:rsidRPr="000004C3" w:rsidRDefault="00C723FE" w:rsidP="00C723F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Com posse dos dados da produção </w:t>
      </w:r>
      <w:r w:rsidR="00F4635E" w:rsidRPr="000004C3">
        <w:rPr>
          <w:rFonts w:asciiTheme="minorHAnsi" w:hAnsiTheme="minorHAnsi" w:cstheme="minorHAnsi"/>
          <w:color w:val="000000" w:themeColor="text1"/>
          <w:sz w:val="22"/>
          <w:szCs w:val="22"/>
        </w:rPr>
        <w:t xml:space="preserve">carregados no SGPP </w:t>
      </w:r>
      <w:r w:rsidRPr="000004C3">
        <w:rPr>
          <w:rFonts w:asciiTheme="minorHAnsi" w:hAnsiTheme="minorHAnsi" w:cstheme="minorHAnsi"/>
          <w:color w:val="000000" w:themeColor="text1"/>
          <w:sz w:val="22"/>
          <w:szCs w:val="22"/>
        </w:rPr>
        <w:t xml:space="preserve">pelo Operador, o responsável pela comercialização na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deve repassar a informação de estimativa de produção de óleo para o AC, além de monitorar o estoque de óleo informado.</w:t>
      </w:r>
    </w:p>
    <w:p w:rsidR="00A8201C" w:rsidRPr="000004C3" w:rsidRDefault="00A8201C" w:rsidP="00A8201C">
      <w:pPr>
        <w:pStyle w:val="Style3"/>
        <w:numPr>
          <w:ilvl w:val="3"/>
          <w:numId w:val="2"/>
        </w:numPr>
        <w:rPr>
          <w:b/>
          <w:sz w:val="22"/>
          <w:szCs w:val="22"/>
        </w:rPr>
      </w:pPr>
      <w:r w:rsidRPr="000004C3">
        <w:rPr>
          <w:b/>
          <w:sz w:val="22"/>
          <w:szCs w:val="22"/>
        </w:rPr>
        <w:t>Controle de Documentos</w:t>
      </w:r>
    </w:p>
    <w:p w:rsidR="00A8201C" w:rsidRPr="000004C3" w:rsidRDefault="00A8201C" w:rsidP="00D42201">
      <w:pPr>
        <w:pStyle w:val="Style3"/>
        <w:numPr>
          <w:ilvl w:val="0"/>
          <w:numId w:val="0"/>
        </w:numPr>
        <w:ind w:left="1372" w:firstLine="634"/>
        <w:rPr>
          <w:color w:val="000000" w:themeColor="text1"/>
          <w:sz w:val="22"/>
          <w:szCs w:val="22"/>
        </w:rPr>
      </w:pPr>
      <w:r w:rsidRPr="000004C3">
        <w:rPr>
          <w:color w:val="000000" w:themeColor="text1"/>
          <w:sz w:val="22"/>
          <w:szCs w:val="22"/>
        </w:rPr>
        <w:t xml:space="preserve">A SCP deverá realizar o controle do </w:t>
      </w:r>
      <w:r w:rsidR="00D42201" w:rsidRPr="000004C3">
        <w:rPr>
          <w:color w:val="000000" w:themeColor="text1"/>
          <w:sz w:val="22"/>
          <w:szCs w:val="22"/>
        </w:rPr>
        <w:t xml:space="preserve">recebimento do </w:t>
      </w:r>
      <w:r w:rsidRPr="000004C3">
        <w:rPr>
          <w:color w:val="000000" w:themeColor="text1"/>
          <w:sz w:val="22"/>
          <w:szCs w:val="22"/>
        </w:rPr>
        <w:t>conjunto de dados e documentos</w:t>
      </w:r>
      <w:r w:rsidR="00D42201" w:rsidRPr="000004C3">
        <w:rPr>
          <w:color w:val="000000" w:themeColor="text1"/>
          <w:sz w:val="22"/>
          <w:szCs w:val="22"/>
        </w:rPr>
        <w:t xml:space="preserve"> de acordo com a definição de:</w:t>
      </w:r>
    </w:p>
    <w:p w:rsidR="00264ED5" w:rsidRPr="000004C3" w:rsidRDefault="00264ED5" w:rsidP="00106A68">
      <w:pPr>
        <w:pStyle w:val="Style3"/>
        <w:numPr>
          <w:ilvl w:val="0"/>
          <w:numId w:val="20"/>
        </w:numPr>
        <w:rPr>
          <w:color w:val="000000" w:themeColor="text1"/>
          <w:sz w:val="22"/>
          <w:szCs w:val="22"/>
        </w:rPr>
      </w:pPr>
      <w:r w:rsidRPr="000004C3">
        <w:rPr>
          <w:color w:val="000000" w:themeColor="text1"/>
          <w:sz w:val="22"/>
          <w:szCs w:val="22"/>
        </w:rPr>
        <w:t>Controles (base mensal):</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Por campo/ petróleo</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Por FPSO</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Por embarque</w:t>
      </w:r>
    </w:p>
    <w:p w:rsidR="00264ED5" w:rsidRPr="000004C3" w:rsidRDefault="00264ED5" w:rsidP="00106A68">
      <w:pPr>
        <w:pStyle w:val="Style3"/>
        <w:numPr>
          <w:ilvl w:val="0"/>
          <w:numId w:val="20"/>
        </w:numPr>
        <w:rPr>
          <w:color w:val="000000" w:themeColor="text1"/>
          <w:sz w:val="22"/>
          <w:szCs w:val="22"/>
        </w:rPr>
      </w:pPr>
      <w:r w:rsidRPr="000004C3">
        <w:rPr>
          <w:color w:val="000000" w:themeColor="text1"/>
          <w:sz w:val="22"/>
          <w:szCs w:val="22"/>
        </w:rPr>
        <w:t>Documentação</w:t>
      </w:r>
      <w:r w:rsidR="00D42201" w:rsidRPr="000004C3">
        <w:rPr>
          <w:color w:val="000000" w:themeColor="text1"/>
          <w:sz w:val="22"/>
          <w:szCs w:val="22"/>
        </w:rPr>
        <w:t xml:space="preserve"> (verificar a exaustão dessa lista)</w:t>
      </w:r>
      <w:r w:rsidRPr="000004C3">
        <w:rPr>
          <w:color w:val="000000" w:themeColor="text1"/>
          <w:sz w:val="22"/>
          <w:szCs w:val="22"/>
        </w:rPr>
        <w:t>:</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Procedimento de Nomeação (Definição da Faixa de Carregamento)</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 xml:space="preserve">Nomeação do Navio de Transbordo </w:t>
      </w:r>
      <w:proofErr w:type="spellStart"/>
      <w:r w:rsidRPr="000004C3">
        <w:rPr>
          <w:color w:val="000000" w:themeColor="text1"/>
          <w:sz w:val="22"/>
          <w:szCs w:val="22"/>
        </w:rPr>
        <w:t>Aliviador</w:t>
      </w:r>
      <w:proofErr w:type="spellEnd"/>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Nomeação do Navio de Transbordo Convencional</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Nomeação de Inspetor Independente</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Documentação de Embarque: NF Provisória e Definitiva; Emissão de BL; Certificado de Origem</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 xml:space="preserve">Acompanhamento pendências: </w:t>
      </w:r>
      <w:proofErr w:type="spellStart"/>
      <w:r w:rsidRPr="000004C3">
        <w:rPr>
          <w:i/>
          <w:color w:val="000000" w:themeColor="text1"/>
          <w:sz w:val="22"/>
          <w:szCs w:val="22"/>
        </w:rPr>
        <w:t>Demurrage</w:t>
      </w:r>
      <w:proofErr w:type="spellEnd"/>
      <w:r w:rsidRPr="000004C3">
        <w:rPr>
          <w:color w:val="000000" w:themeColor="text1"/>
          <w:sz w:val="22"/>
          <w:szCs w:val="22"/>
        </w:rPr>
        <w:t xml:space="preserve"> ou outras quaisquer</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lastRenderedPageBreak/>
        <w:t>Cálculo do preço (fórmula, câmbio)</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Depósito na conta única do Tesouro Nacional</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Monitoramento - informações trocadas (registros) no e-mail de comercialização@ppsa.gov.br</w:t>
      </w:r>
    </w:p>
    <w:p w:rsidR="00264ED5" w:rsidRPr="000004C3" w:rsidRDefault="00264ED5" w:rsidP="00106A68">
      <w:pPr>
        <w:pStyle w:val="Style3"/>
        <w:numPr>
          <w:ilvl w:val="0"/>
          <w:numId w:val="21"/>
        </w:numPr>
        <w:rPr>
          <w:color w:val="000000" w:themeColor="text1"/>
          <w:sz w:val="22"/>
          <w:szCs w:val="22"/>
        </w:rPr>
      </w:pPr>
      <w:r w:rsidRPr="000004C3">
        <w:rPr>
          <w:color w:val="000000" w:themeColor="text1"/>
          <w:sz w:val="22"/>
          <w:szCs w:val="22"/>
        </w:rPr>
        <w:t>Atas de reunião de monitoramento/ acompanhamento/ estratégia, para o Modelo de Venda Condicionada</w:t>
      </w:r>
    </w:p>
    <w:p w:rsidR="00C723FE" w:rsidRPr="000004C3" w:rsidRDefault="00C723FE" w:rsidP="00C723FE">
      <w:pPr>
        <w:pStyle w:val="Style3"/>
        <w:numPr>
          <w:ilvl w:val="2"/>
          <w:numId w:val="2"/>
        </w:numPr>
        <w:rPr>
          <w:b/>
          <w:sz w:val="22"/>
          <w:szCs w:val="22"/>
        </w:rPr>
      </w:pPr>
      <w:r w:rsidRPr="000004C3">
        <w:rPr>
          <w:b/>
          <w:sz w:val="22"/>
          <w:szCs w:val="22"/>
        </w:rPr>
        <w:t>Definição da faixa e volume de interesse de carregamento para o mês M – Atividades 5 a 7, ilustradas no Padrão de Processo (Anexo I)</w:t>
      </w:r>
    </w:p>
    <w:p w:rsidR="00C723FE" w:rsidRPr="000004C3" w:rsidRDefault="00C723FE" w:rsidP="00C723F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O Agente Comercializador recebe do responsável pela comercialização na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a informação da estimativa de produção do óleo de M-2, M-1 e M. Com isso, o AC deve indicar a faixa e volume de interesse de carregamento para o mês M à Superintendência de Comercialização de Óleo e Gás Natural. Essa informação deve ser repassada ao Operador (Cronograma contendo os prazos das atividades referentes a esse procedimento detalhados no Anexo V deste documento) que irá realizar a programação de embarque.</w:t>
      </w:r>
    </w:p>
    <w:p w:rsidR="00C723FE" w:rsidRPr="000004C3" w:rsidRDefault="00C723FE" w:rsidP="00C723FE">
      <w:pPr>
        <w:pStyle w:val="Style3"/>
        <w:numPr>
          <w:ilvl w:val="2"/>
          <w:numId w:val="2"/>
        </w:numPr>
        <w:rPr>
          <w:b/>
          <w:sz w:val="22"/>
          <w:szCs w:val="22"/>
        </w:rPr>
      </w:pPr>
      <w:r w:rsidRPr="000004C3">
        <w:rPr>
          <w:b/>
          <w:sz w:val="22"/>
          <w:szCs w:val="22"/>
        </w:rPr>
        <w:t xml:space="preserve">Programação de embarque para o mês M – Atividades 8 a </w:t>
      </w:r>
      <w:r w:rsidRPr="000004C3">
        <w:rPr>
          <w:b/>
          <w:color w:val="000000" w:themeColor="text1"/>
          <w:sz w:val="22"/>
          <w:szCs w:val="22"/>
        </w:rPr>
        <w:t>9.1</w:t>
      </w:r>
      <w:r w:rsidRPr="000004C3">
        <w:rPr>
          <w:b/>
          <w:sz w:val="22"/>
          <w:szCs w:val="22"/>
        </w:rPr>
        <w:t>, ilustradas no Padrão de Processo (Anexo I)</w:t>
      </w:r>
    </w:p>
    <w:p w:rsidR="00C723FE" w:rsidRPr="000004C3" w:rsidRDefault="00C723F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Com posse das informações de faixa e volume de carregamento, o Operador realiza </w:t>
      </w:r>
      <w:r w:rsidR="00D42201" w:rsidRPr="000004C3">
        <w:rPr>
          <w:rFonts w:asciiTheme="minorHAnsi" w:hAnsiTheme="minorHAnsi" w:cstheme="minorHAnsi"/>
          <w:color w:val="000000" w:themeColor="text1"/>
          <w:sz w:val="22"/>
          <w:szCs w:val="22"/>
        </w:rPr>
        <w:t xml:space="preserve">a definição do Programa de Carregamento: programação de </w:t>
      </w:r>
      <w:r w:rsidRPr="000004C3">
        <w:rPr>
          <w:rFonts w:asciiTheme="minorHAnsi" w:hAnsiTheme="minorHAnsi" w:cstheme="minorHAnsi"/>
          <w:color w:val="000000" w:themeColor="text1"/>
          <w:sz w:val="22"/>
          <w:szCs w:val="22"/>
        </w:rPr>
        <w:t>embarque para M</w:t>
      </w:r>
      <w:r w:rsidR="00D42201" w:rsidRPr="000004C3">
        <w:rPr>
          <w:rFonts w:asciiTheme="minorHAnsi" w:hAnsiTheme="minorHAnsi" w:cstheme="minorHAnsi"/>
          <w:color w:val="000000" w:themeColor="text1"/>
          <w:sz w:val="22"/>
          <w:szCs w:val="22"/>
        </w:rPr>
        <w:t xml:space="preserve"> e atualização de dados no controle do estoque de óleo</w:t>
      </w:r>
      <w:r w:rsidRPr="000004C3">
        <w:rPr>
          <w:rFonts w:asciiTheme="minorHAnsi" w:hAnsiTheme="minorHAnsi" w:cstheme="minorHAnsi"/>
          <w:color w:val="000000" w:themeColor="text1"/>
          <w:sz w:val="22"/>
          <w:szCs w:val="22"/>
        </w:rPr>
        <w:t>.</w:t>
      </w:r>
      <w:r w:rsidR="00D42201" w:rsidRPr="000004C3">
        <w:rPr>
          <w:rFonts w:asciiTheme="minorHAnsi" w:hAnsiTheme="minorHAnsi" w:cstheme="minorHAnsi"/>
          <w:color w:val="000000" w:themeColor="text1"/>
          <w:sz w:val="22"/>
          <w:szCs w:val="22"/>
        </w:rPr>
        <w:t xml:space="preserve"> Por fim, envia essas informações para a Pré-Sal Petróleo atualizar em seu sistema.</w:t>
      </w:r>
    </w:p>
    <w:p w:rsidR="00C723FE" w:rsidRPr="000004C3" w:rsidRDefault="00C723FE" w:rsidP="00C723FE">
      <w:pPr>
        <w:pStyle w:val="Style3"/>
        <w:numPr>
          <w:ilvl w:val="2"/>
          <w:numId w:val="2"/>
        </w:numPr>
        <w:rPr>
          <w:b/>
          <w:sz w:val="22"/>
          <w:szCs w:val="22"/>
        </w:rPr>
      </w:pPr>
      <w:r w:rsidRPr="000004C3">
        <w:rPr>
          <w:b/>
          <w:sz w:val="22"/>
          <w:szCs w:val="22"/>
        </w:rPr>
        <w:t>Comercialização do Óleo – Atividade 10, ilustrada no Padrão de Processo (Anexo I)</w:t>
      </w:r>
    </w:p>
    <w:p w:rsidR="00C723FE" w:rsidRPr="000004C3" w:rsidRDefault="00C723F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Após a definição da faixa de embarque e quantidades, o AC deve iniciar o processo de comercialização do óleo, sob monitoramento da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que tem como resultado as informações de Custos e Condições de Venda, informações que devem ser armazenadas no </w:t>
      </w:r>
      <w:r w:rsidR="00F068CB" w:rsidRPr="000004C3">
        <w:rPr>
          <w:rFonts w:asciiTheme="minorHAnsi" w:hAnsiTheme="minorHAnsi" w:cstheme="minorHAnsi"/>
          <w:color w:val="000000" w:themeColor="text1"/>
          <w:sz w:val="22"/>
          <w:szCs w:val="22"/>
        </w:rPr>
        <w:t>SGPP</w:t>
      </w:r>
      <w:r w:rsidRPr="000004C3">
        <w:rPr>
          <w:rFonts w:asciiTheme="minorHAnsi" w:hAnsiTheme="minorHAnsi" w:cstheme="minorHAnsi"/>
          <w:color w:val="000000" w:themeColor="text1"/>
          <w:sz w:val="22"/>
          <w:szCs w:val="22"/>
        </w:rPr>
        <w:t>.</w:t>
      </w:r>
    </w:p>
    <w:p w:rsidR="00C723FE" w:rsidRPr="000004C3" w:rsidRDefault="00C723F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Em seguida, o AC destinará a carga para o cliente final (mercado externo ou mercado doméstico), podendo utilizar uma interposta pessoa entre o AC e o Cliente Final. O AC poderá também refinar o óleo em seu próprio sistema. As cargas serão vendidas pelo AC preferencialmente combinadas com o óleo de sua propriedade naquele campo.  </w:t>
      </w:r>
    </w:p>
    <w:p w:rsidR="00C723FE" w:rsidRPr="000004C3" w:rsidRDefault="00C723F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lastRenderedPageBreak/>
        <w:t>A estratégia de comercialização levará em conta:</w:t>
      </w:r>
    </w:p>
    <w:p w:rsidR="00C723FE" w:rsidRPr="000004C3" w:rsidRDefault="00C723F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Estimativa do valor do petróleo da União;</w:t>
      </w:r>
    </w:p>
    <w:p w:rsidR="00C723FE" w:rsidRPr="000004C3" w:rsidRDefault="00C723F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Os fundamentos do mercado que justificam o valor; </w:t>
      </w:r>
    </w:p>
    <w:p w:rsidR="00C723FE" w:rsidRPr="000004C3" w:rsidRDefault="00C723F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Análise do mercado de frete; </w:t>
      </w:r>
    </w:p>
    <w:p w:rsidR="00C723FE" w:rsidRPr="000004C3" w:rsidRDefault="00C723F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Outros petróleos concorrentes em oferta no mercado; </w:t>
      </w:r>
    </w:p>
    <w:p w:rsidR="00C723FE" w:rsidRPr="000004C3" w:rsidRDefault="00C723F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Outros elementos que justifiquem a proposição.</w:t>
      </w:r>
    </w:p>
    <w:p w:rsidR="00C723FE" w:rsidRPr="000004C3" w:rsidRDefault="00C723FE" w:rsidP="00C723FE">
      <w:pPr>
        <w:pStyle w:val="Style3"/>
        <w:numPr>
          <w:ilvl w:val="2"/>
          <w:numId w:val="2"/>
        </w:numPr>
        <w:rPr>
          <w:b/>
          <w:sz w:val="22"/>
          <w:szCs w:val="22"/>
        </w:rPr>
      </w:pPr>
      <w:r w:rsidRPr="000004C3">
        <w:rPr>
          <w:b/>
          <w:sz w:val="22"/>
          <w:szCs w:val="22"/>
        </w:rPr>
        <w:t>Nomeação do navio – Atividade 11, ilustradas no Padrão de Processo (Anexo I)</w:t>
      </w:r>
    </w:p>
    <w:p w:rsidR="00C723FE" w:rsidRPr="000004C3" w:rsidRDefault="00C723F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Após identificar e escolher o navio no mercado, o AC realiza a nomeação do navio e submete à aprovação do Operador de acordo com o </w:t>
      </w:r>
      <w:r w:rsidR="00595544" w:rsidRPr="000004C3">
        <w:rPr>
          <w:rFonts w:asciiTheme="minorHAnsi" w:hAnsiTheme="minorHAnsi" w:cstheme="minorHAnsi"/>
          <w:i/>
          <w:color w:val="000000" w:themeColor="text1"/>
          <w:sz w:val="22"/>
          <w:szCs w:val="22"/>
        </w:rPr>
        <w:t xml:space="preserve">Lifting </w:t>
      </w:r>
      <w:proofErr w:type="spellStart"/>
      <w:r w:rsidRPr="000004C3">
        <w:rPr>
          <w:rFonts w:asciiTheme="minorHAnsi" w:hAnsiTheme="minorHAnsi" w:cstheme="minorHAnsi"/>
          <w:i/>
          <w:color w:val="000000" w:themeColor="text1"/>
          <w:sz w:val="22"/>
          <w:szCs w:val="22"/>
        </w:rPr>
        <w:t>Agreement</w:t>
      </w:r>
      <w:proofErr w:type="spellEnd"/>
      <w:r w:rsidRPr="000004C3">
        <w:rPr>
          <w:rFonts w:asciiTheme="minorHAnsi" w:hAnsiTheme="minorHAnsi" w:cstheme="minorHAnsi"/>
          <w:color w:val="000000" w:themeColor="text1"/>
          <w:sz w:val="22"/>
          <w:szCs w:val="22"/>
        </w:rPr>
        <w:t xml:space="preserve"> e suas condições de </w:t>
      </w:r>
      <w:proofErr w:type="spellStart"/>
      <w:r w:rsidRPr="000004C3">
        <w:rPr>
          <w:rFonts w:asciiTheme="minorHAnsi" w:hAnsiTheme="minorHAnsi" w:cstheme="minorHAnsi"/>
          <w:i/>
          <w:color w:val="000000" w:themeColor="text1"/>
          <w:sz w:val="22"/>
          <w:szCs w:val="22"/>
        </w:rPr>
        <w:t>vetting</w:t>
      </w:r>
      <w:proofErr w:type="spellEnd"/>
      <w:r w:rsidRPr="000004C3">
        <w:rPr>
          <w:rFonts w:asciiTheme="minorHAnsi" w:hAnsiTheme="minorHAnsi" w:cstheme="minorHAnsi"/>
          <w:color w:val="000000" w:themeColor="text1"/>
          <w:sz w:val="22"/>
          <w:szCs w:val="22"/>
        </w:rPr>
        <w:t>.</w:t>
      </w:r>
    </w:p>
    <w:p w:rsidR="009D5CBE" w:rsidRPr="000004C3" w:rsidRDefault="009D5CBE" w:rsidP="009D5CBE">
      <w:pPr>
        <w:pStyle w:val="Style3"/>
        <w:numPr>
          <w:ilvl w:val="2"/>
          <w:numId w:val="2"/>
        </w:numPr>
        <w:rPr>
          <w:b/>
          <w:sz w:val="22"/>
          <w:szCs w:val="22"/>
        </w:rPr>
      </w:pPr>
      <w:r w:rsidRPr="000004C3">
        <w:rPr>
          <w:b/>
          <w:sz w:val="22"/>
          <w:szCs w:val="22"/>
        </w:rPr>
        <w:t>Embarque do Óleo – Atividades 12 a 15, ilustradas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A etapa de embarque do óleo considera que o óleo seja exportado ou não, as duas situações estão detalhadas conforme segue:</w:t>
      </w:r>
    </w:p>
    <w:p w:rsidR="009D5CBE" w:rsidRPr="000004C3" w:rsidRDefault="009D5CBE" w:rsidP="00106A68">
      <w:pPr>
        <w:pStyle w:val="PargrafodaLista"/>
        <w:numPr>
          <w:ilvl w:val="0"/>
          <w:numId w:val="13"/>
        </w:numPr>
        <w:spacing w:after="200" w:line="360" w:lineRule="auto"/>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Exportação: O AC emite todos os documentos e certificados necessários à exportação, como por exemplo: </w:t>
      </w:r>
      <w:r w:rsidRPr="000004C3">
        <w:rPr>
          <w:rFonts w:asciiTheme="minorHAnsi" w:hAnsiTheme="minorHAnsi" w:cstheme="minorHAnsi"/>
          <w:i/>
          <w:color w:val="000000" w:themeColor="text1"/>
          <w:sz w:val="22"/>
          <w:szCs w:val="22"/>
        </w:rPr>
        <w:t xml:space="preserve">Bill </w:t>
      </w:r>
      <w:proofErr w:type="spellStart"/>
      <w:r w:rsidRPr="000004C3">
        <w:rPr>
          <w:rFonts w:asciiTheme="minorHAnsi" w:hAnsiTheme="minorHAnsi" w:cstheme="minorHAnsi"/>
          <w:i/>
          <w:color w:val="000000" w:themeColor="text1"/>
          <w:sz w:val="22"/>
          <w:szCs w:val="22"/>
        </w:rPr>
        <w:t>of</w:t>
      </w:r>
      <w:proofErr w:type="spellEnd"/>
      <w:r w:rsidRPr="000004C3">
        <w:rPr>
          <w:rFonts w:asciiTheme="minorHAnsi" w:hAnsiTheme="minorHAnsi" w:cstheme="minorHAnsi"/>
          <w:i/>
          <w:color w:val="000000" w:themeColor="text1"/>
          <w:sz w:val="22"/>
          <w:szCs w:val="22"/>
        </w:rPr>
        <w:t xml:space="preserve"> </w:t>
      </w:r>
      <w:proofErr w:type="spellStart"/>
      <w:r w:rsidRPr="000004C3">
        <w:rPr>
          <w:rFonts w:asciiTheme="minorHAnsi" w:hAnsiTheme="minorHAnsi" w:cstheme="minorHAnsi"/>
          <w:i/>
          <w:color w:val="000000" w:themeColor="text1"/>
          <w:sz w:val="22"/>
          <w:szCs w:val="22"/>
        </w:rPr>
        <w:t>Lading</w:t>
      </w:r>
      <w:proofErr w:type="spellEnd"/>
      <w:r w:rsidRPr="000004C3">
        <w:rPr>
          <w:rFonts w:asciiTheme="minorHAnsi" w:hAnsiTheme="minorHAnsi" w:cstheme="minorHAnsi"/>
          <w:i/>
          <w:color w:val="000000" w:themeColor="text1"/>
          <w:sz w:val="22"/>
          <w:szCs w:val="22"/>
        </w:rPr>
        <w:t xml:space="preserve"> </w:t>
      </w:r>
      <w:r w:rsidRPr="000004C3">
        <w:rPr>
          <w:rFonts w:asciiTheme="minorHAnsi" w:hAnsiTheme="minorHAnsi" w:cstheme="minorHAnsi"/>
          <w:color w:val="000000" w:themeColor="text1"/>
          <w:sz w:val="22"/>
          <w:szCs w:val="22"/>
        </w:rPr>
        <w:t>e Certificado de Origem</w:t>
      </w:r>
      <w:r w:rsidRPr="000004C3">
        <w:rPr>
          <w:rFonts w:asciiTheme="minorHAnsi" w:hAnsiTheme="minorHAnsi" w:cstheme="minorHAnsi"/>
          <w:i/>
          <w:color w:val="000000" w:themeColor="text1"/>
          <w:sz w:val="22"/>
          <w:szCs w:val="22"/>
        </w:rPr>
        <w:t>.</w:t>
      </w:r>
      <w:r w:rsidRPr="000004C3">
        <w:rPr>
          <w:rFonts w:asciiTheme="minorHAnsi" w:hAnsiTheme="minorHAnsi" w:cstheme="minorHAnsi"/>
          <w:color w:val="000000" w:themeColor="text1"/>
          <w:sz w:val="22"/>
          <w:szCs w:val="22"/>
        </w:rPr>
        <w:t xml:space="preserve"> 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emite o documento fiscal. </w:t>
      </w:r>
    </w:p>
    <w:p w:rsidR="009D5CBE" w:rsidRPr="000004C3" w:rsidRDefault="009D5CBE" w:rsidP="00106A68">
      <w:pPr>
        <w:pStyle w:val="PargrafodaLista"/>
        <w:numPr>
          <w:ilvl w:val="0"/>
          <w:numId w:val="13"/>
        </w:numPr>
        <w:spacing w:line="360" w:lineRule="auto"/>
        <w:ind w:left="2156"/>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Nacional: O AC emite os documentos necessários, à exceção da nota fiscal, que é emitida pela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Para ambos os casos, a venda é FOB FPSO e o AC providencia a nomeação do navio para alívio da FPSO e, quando for o caso, é realizado o transbordo para navio convencional para transporte do óleo. </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As regras para a disponibilização da produção devem estar em conformidade com o </w:t>
      </w:r>
      <w:r w:rsidRPr="000004C3">
        <w:rPr>
          <w:rFonts w:asciiTheme="minorHAnsi" w:hAnsiTheme="minorHAnsi" w:cstheme="minorHAnsi"/>
          <w:i/>
          <w:color w:val="000000" w:themeColor="text1"/>
          <w:sz w:val="22"/>
          <w:szCs w:val="22"/>
        </w:rPr>
        <w:t xml:space="preserve">Lifting </w:t>
      </w:r>
      <w:proofErr w:type="spellStart"/>
      <w:r w:rsidRPr="000004C3">
        <w:rPr>
          <w:rFonts w:asciiTheme="minorHAnsi" w:hAnsiTheme="minorHAnsi" w:cstheme="minorHAnsi"/>
          <w:i/>
          <w:color w:val="000000" w:themeColor="text1"/>
          <w:sz w:val="22"/>
          <w:szCs w:val="22"/>
        </w:rPr>
        <w:t>Agreement</w:t>
      </w:r>
      <w:proofErr w:type="spellEnd"/>
      <w:r w:rsidRPr="000004C3">
        <w:rPr>
          <w:rFonts w:asciiTheme="minorHAnsi" w:hAnsiTheme="minorHAnsi" w:cstheme="minorHAnsi"/>
          <w:color w:val="000000" w:themeColor="text1"/>
          <w:sz w:val="22"/>
          <w:szCs w:val="22"/>
        </w:rPr>
        <w:t xml:space="preserve"> de cada FPSO.</w:t>
      </w:r>
    </w:p>
    <w:p w:rsidR="009D5CBE" w:rsidRPr="000004C3" w:rsidRDefault="009D5CBE" w:rsidP="009D5CBE">
      <w:pPr>
        <w:pStyle w:val="Style3"/>
        <w:numPr>
          <w:ilvl w:val="2"/>
          <w:numId w:val="2"/>
        </w:numPr>
        <w:rPr>
          <w:b/>
          <w:sz w:val="22"/>
          <w:szCs w:val="22"/>
        </w:rPr>
      </w:pPr>
      <w:r w:rsidRPr="000004C3">
        <w:rPr>
          <w:b/>
          <w:sz w:val="22"/>
          <w:szCs w:val="22"/>
        </w:rPr>
        <w:t>Receita Advinda da Comercialização - RAC – Atividades 16 a 19, ilustradas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O AC fica responsável por realizar o cálculo final do preço FOB e prover à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todos os documentos e evidências necessários ao cálculo do preço, que por sua vez verifica e refaz o cálculo final do preço FOB e aprova. Caso 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não concorde, ela deve solicitar a revisão do cálculo final do preço FOB ao AC (vide detalhamento em Definições). Caso a </w:t>
      </w:r>
      <w:r w:rsidR="00F068CB" w:rsidRPr="000004C3">
        <w:rPr>
          <w:rFonts w:asciiTheme="minorHAnsi" w:hAnsiTheme="minorHAnsi" w:cstheme="minorHAnsi"/>
          <w:color w:val="000000" w:themeColor="text1"/>
          <w:sz w:val="22"/>
          <w:szCs w:val="22"/>
        </w:rPr>
        <w:t xml:space="preserve">Pré-Sal </w:t>
      </w:r>
      <w:r w:rsidR="00F068CB" w:rsidRPr="000004C3">
        <w:rPr>
          <w:rFonts w:asciiTheme="minorHAnsi" w:hAnsiTheme="minorHAnsi" w:cstheme="minorHAnsi"/>
          <w:color w:val="000000" w:themeColor="text1"/>
          <w:sz w:val="22"/>
          <w:szCs w:val="22"/>
        </w:rPr>
        <w:lastRenderedPageBreak/>
        <w:t>Petróleo</w:t>
      </w:r>
      <w:r w:rsidRPr="000004C3">
        <w:rPr>
          <w:rFonts w:asciiTheme="minorHAnsi" w:hAnsiTheme="minorHAnsi" w:cstheme="minorHAnsi"/>
          <w:color w:val="000000" w:themeColor="text1"/>
          <w:sz w:val="22"/>
          <w:szCs w:val="22"/>
        </w:rPr>
        <w:t xml:space="preserve"> concorde, ela informa o preço final ao GCCF, que irá orientar o AC para a realização do depósito na conta única do tesouro nacional.</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Porém, vale ressaltar que sempre que o AC efetuar a venda ao cliente final através de uma empresa pertencente ao seu grupo econômico, o preço a ser recolhido à Conta Única do Tesouro Nacional não será inferior ao preço mínimo do petróleo estabelecido pela ANP para fins de cálculo das participações governamentais, ou outra referência que vier a sucedê-lo.</w:t>
      </w:r>
    </w:p>
    <w:p w:rsidR="009D5CBE" w:rsidRPr="000004C3" w:rsidRDefault="009D5CBE" w:rsidP="009D5CBE">
      <w:pPr>
        <w:pStyle w:val="Style3"/>
        <w:numPr>
          <w:ilvl w:val="2"/>
          <w:numId w:val="2"/>
        </w:numPr>
        <w:rPr>
          <w:b/>
          <w:sz w:val="22"/>
          <w:szCs w:val="22"/>
        </w:rPr>
      </w:pPr>
      <w:r w:rsidRPr="000004C3">
        <w:rPr>
          <w:b/>
          <w:sz w:val="22"/>
          <w:szCs w:val="22"/>
        </w:rPr>
        <w:t>Emissão do Documento Fiscal – Atividades 20, 22 e 23, ilustradas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Ao realizar a emissão do documento fiscal, a GCCF orienta o AC a depositar diretamente à Conta Única do Tesouro Nacional. O AC realiza o pagamento na conta única do Tesouro Nacional e a GCCF deve se certificar que a receita foi efetivamente recolhida. É dever da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se certificar de que a receita advinda da comercialização (RAC) foi devidamente depositada na Conta Única do Tesouro Nacional.</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Caso o AC não faça o repasse do valor devido no prazo estipulado, o mesmo está sujeito à multa por atraso do depósito na Conta Única do Tesouro Nacional: taxa de juros SELIC (sistema especial de liquidação e de custódia) acrescido de 1% de multa pró-rata dia, do valor da GRU.</w:t>
      </w:r>
    </w:p>
    <w:p w:rsidR="009D5CBE" w:rsidRPr="000004C3" w:rsidRDefault="009D5CBE" w:rsidP="009D5CBE">
      <w:pPr>
        <w:pStyle w:val="Style3"/>
        <w:numPr>
          <w:ilvl w:val="2"/>
          <w:numId w:val="2"/>
        </w:numPr>
        <w:rPr>
          <w:b/>
          <w:sz w:val="22"/>
          <w:szCs w:val="22"/>
        </w:rPr>
      </w:pPr>
      <w:r w:rsidRPr="000004C3">
        <w:rPr>
          <w:b/>
          <w:sz w:val="22"/>
          <w:szCs w:val="22"/>
        </w:rPr>
        <w:t>Remuneração do AC</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 propriedade do óleo será transferida ao AC no flange de entrada do navio </w:t>
      </w:r>
      <w:proofErr w:type="spellStart"/>
      <w:r w:rsidRPr="000004C3">
        <w:rPr>
          <w:rFonts w:asciiTheme="minorHAnsi" w:hAnsiTheme="minorHAnsi" w:cstheme="minorHAnsi"/>
          <w:color w:val="000000" w:themeColor="text1"/>
          <w:sz w:val="22"/>
          <w:szCs w:val="22"/>
        </w:rPr>
        <w:t>aliviador</w:t>
      </w:r>
      <w:proofErr w:type="spellEnd"/>
      <w:r w:rsidRPr="000004C3">
        <w:rPr>
          <w:rFonts w:asciiTheme="minorHAnsi" w:hAnsiTheme="minorHAnsi" w:cstheme="minorHAnsi"/>
          <w:color w:val="000000" w:themeColor="text1"/>
          <w:sz w:val="22"/>
          <w:szCs w:val="22"/>
        </w:rPr>
        <w:t>, ou seja, na modalidade FOB FPSO, nas condições contratuais. O AC fará jus à remuneração das atividades efetivamente realizadas com base no valor por barril de petróleo comercializado definido no CPP.</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Estão incluídos na remuneração do AC:</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Valor cobrado pelos serviços de pesquisa de mercado, venda e comercialização do óleo da União;</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Todos os custos referentes a: </w:t>
      </w:r>
    </w:p>
    <w:p w:rsidR="009D5CBE" w:rsidRPr="000004C3" w:rsidRDefault="009D5CBE" w:rsidP="00106A68">
      <w:pPr>
        <w:pStyle w:val="PargrafodaLista"/>
        <w:numPr>
          <w:ilvl w:val="1"/>
          <w:numId w:val="14"/>
        </w:numPr>
        <w:spacing w:after="200" w:line="360" w:lineRule="auto"/>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Comercialização (exceto custos logísticos);</w:t>
      </w:r>
    </w:p>
    <w:p w:rsidR="009D5CBE" w:rsidRPr="000004C3" w:rsidRDefault="009D5CBE" w:rsidP="00106A68">
      <w:pPr>
        <w:pStyle w:val="PargrafodaLista"/>
        <w:numPr>
          <w:ilvl w:val="1"/>
          <w:numId w:val="14"/>
        </w:numPr>
        <w:spacing w:after="200" w:line="360" w:lineRule="auto"/>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Eventuais ‘</w:t>
      </w:r>
      <w:proofErr w:type="spellStart"/>
      <w:r w:rsidRPr="000004C3">
        <w:rPr>
          <w:rFonts w:asciiTheme="minorHAnsi" w:hAnsiTheme="minorHAnsi" w:cstheme="minorHAnsi"/>
          <w:i/>
          <w:color w:val="000000" w:themeColor="text1"/>
          <w:sz w:val="22"/>
          <w:szCs w:val="22"/>
        </w:rPr>
        <w:t>claims</w:t>
      </w:r>
      <w:proofErr w:type="spellEnd"/>
      <w:r w:rsidRPr="000004C3">
        <w:rPr>
          <w:rFonts w:asciiTheme="minorHAnsi" w:hAnsiTheme="minorHAnsi" w:cstheme="minorHAnsi"/>
          <w:i/>
          <w:color w:val="000000" w:themeColor="text1"/>
          <w:sz w:val="22"/>
          <w:szCs w:val="22"/>
        </w:rPr>
        <w:t>’</w:t>
      </w:r>
      <w:r w:rsidRPr="000004C3">
        <w:rPr>
          <w:rFonts w:asciiTheme="minorHAnsi" w:hAnsiTheme="minorHAnsi" w:cstheme="minorHAnsi"/>
          <w:color w:val="000000" w:themeColor="text1"/>
          <w:sz w:val="22"/>
          <w:szCs w:val="22"/>
        </w:rPr>
        <w:t xml:space="preserve"> (relativos a perdas, qualidade, quanti</w:t>
      </w:r>
      <w:r w:rsidR="00D42201" w:rsidRPr="000004C3">
        <w:rPr>
          <w:rFonts w:asciiTheme="minorHAnsi" w:hAnsiTheme="minorHAnsi" w:cstheme="minorHAnsi"/>
          <w:color w:val="000000" w:themeColor="text1"/>
          <w:sz w:val="22"/>
          <w:szCs w:val="22"/>
        </w:rPr>
        <w:t xml:space="preserve">dade, </w:t>
      </w:r>
      <w:proofErr w:type="spellStart"/>
      <w:r w:rsidR="00D42201" w:rsidRPr="000004C3">
        <w:rPr>
          <w:rFonts w:asciiTheme="minorHAnsi" w:hAnsiTheme="minorHAnsi" w:cstheme="minorHAnsi"/>
          <w:color w:val="000000" w:themeColor="text1"/>
          <w:sz w:val="22"/>
          <w:szCs w:val="22"/>
        </w:rPr>
        <w:t>sobrestadia</w:t>
      </w:r>
      <w:proofErr w:type="spellEnd"/>
      <w:r w:rsidR="00D42201" w:rsidRPr="000004C3">
        <w:rPr>
          <w:rFonts w:asciiTheme="minorHAnsi" w:hAnsiTheme="minorHAnsi" w:cstheme="minorHAnsi"/>
          <w:color w:val="000000" w:themeColor="text1"/>
          <w:sz w:val="22"/>
          <w:szCs w:val="22"/>
        </w:rPr>
        <w:t xml:space="preserve"> ou outros) (su</w:t>
      </w:r>
      <w:r w:rsidRPr="000004C3">
        <w:rPr>
          <w:rFonts w:asciiTheme="minorHAnsi" w:hAnsiTheme="minorHAnsi" w:cstheme="minorHAnsi"/>
          <w:color w:val="000000" w:themeColor="text1"/>
          <w:sz w:val="22"/>
          <w:szCs w:val="22"/>
        </w:rPr>
        <w:t xml:space="preserve">b </w:t>
      </w:r>
      <w:proofErr w:type="spellStart"/>
      <w:r w:rsidRPr="000004C3">
        <w:rPr>
          <w:rFonts w:asciiTheme="minorHAnsi" w:hAnsiTheme="minorHAnsi" w:cstheme="minorHAnsi"/>
          <w:color w:val="000000" w:themeColor="text1"/>
          <w:sz w:val="22"/>
          <w:szCs w:val="22"/>
        </w:rPr>
        <w:t>júdice</w:t>
      </w:r>
      <w:proofErr w:type="spellEnd"/>
      <w:r w:rsidRPr="000004C3">
        <w:rPr>
          <w:rFonts w:asciiTheme="minorHAnsi" w:hAnsiTheme="minorHAnsi" w:cstheme="minorHAnsi"/>
          <w:color w:val="000000" w:themeColor="text1"/>
          <w:sz w:val="22"/>
          <w:szCs w:val="22"/>
        </w:rPr>
        <w:t>);</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 xml:space="preserve">Riscos e custos previstos no LA de cada FPSO (sob </w:t>
      </w:r>
      <w:proofErr w:type="spellStart"/>
      <w:r w:rsidRPr="000004C3">
        <w:rPr>
          <w:rFonts w:asciiTheme="minorHAnsi" w:hAnsiTheme="minorHAnsi" w:cstheme="minorHAnsi"/>
          <w:sz w:val="22"/>
          <w:szCs w:val="22"/>
        </w:rPr>
        <w:t>júdice</w:t>
      </w:r>
      <w:proofErr w:type="spellEnd"/>
      <w:r w:rsidRPr="000004C3">
        <w:rPr>
          <w:rFonts w:asciiTheme="minorHAnsi" w:hAnsiTheme="minorHAnsi" w:cstheme="minorHAnsi"/>
          <w:sz w:val="22"/>
          <w:szCs w:val="22"/>
        </w:rPr>
        <w:t>).</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lastRenderedPageBreak/>
        <w:t xml:space="preserve">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efetuará a transferência de propriedade ao AC pelo valor FOB FPSO do carregamento, calculado conforme o item anterior deste documento. O valor para a emissão do documento fiscal pela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ao AC será calculado a partir das metodologias do referido item.</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Os custos logísticos não fazem parte da remuneração do AC, mas devem ser considerados no cálculo da RAC.</w:t>
      </w:r>
    </w:p>
    <w:p w:rsidR="009D5CBE" w:rsidRPr="000004C3" w:rsidRDefault="009D5CBE" w:rsidP="009D5CBE">
      <w:pPr>
        <w:pStyle w:val="Style3"/>
        <w:numPr>
          <w:ilvl w:val="2"/>
          <w:numId w:val="2"/>
        </w:numPr>
        <w:rPr>
          <w:b/>
          <w:sz w:val="22"/>
          <w:szCs w:val="22"/>
        </w:rPr>
      </w:pPr>
      <w:proofErr w:type="spellStart"/>
      <w:r w:rsidRPr="000004C3">
        <w:rPr>
          <w:b/>
          <w:i/>
          <w:sz w:val="22"/>
          <w:szCs w:val="22"/>
        </w:rPr>
        <w:t>Claims</w:t>
      </w:r>
      <w:proofErr w:type="spellEnd"/>
      <w:r w:rsidRPr="000004C3">
        <w:rPr>
          <w:b/>
          <w:sz w:val="22"/>
          <w:szCs w:val="22"/>
        </w:rPr>
        <w:t xml:space="preserve"> – Atividade 21, ilustrada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 tratativa dos </w:t>
      </w:r>
      <w:proofErr w:type="spellStart"/>
      <w:r w:rsidRPr="000004C3">
        <w:rPr>
          <w:rFonts w:asciiTheme="minorHAnsi" w:hAnsiTheme="minorHAnsi" w:cstheme="minorHAnsi"/>
          <w:i/>
          <w:color w:val="000000" w:themeColor="text1"/>
          <w:sz w:val="22"/>
          <w:szCs w:val="22"/>
        </w:rPr>
        <w:t>claims</w:t>
      </w:r>
      <w:proofErr w:type="spellEnd"/>
      <w:r w:rsidRPr="000004C3">
        <w:rPr>
          <w:rFonts w:asciiTheme="minorHAnsi" w:hAnsiTheme="minorHAnsi" w:cstheme="minorHAnsi"/>
          <w:color w:val="000000" w:themeColor="text1"/>
          <w:sz w:val="22"/>
          <w:szCs w:val="22"/>
        </w:rPr>
        <w:t xml:space="preserve"> será de responsabilidade do AC, tendo a Superintendência de Comercialização de Óleo e Gás Natural o papel de monitoramento. O AC realiza a análise dos </w:t>
      </w:r>
      <w:proofErr w:type="spellStart"/>
      <w:r w:rsidRPr="000004C3">
        <w:rPr>
          <w:rFonts w:asciiTheme="minorHAnsi" w:hAnsiTheme="minorHAnsi" w:cstheme="minorHAnsi"/>
          <w:i/>
          <w:color w:val="000000" w:themeColor="text1"/>
          <w:sz w:val="22"/>
          <w:szCs w:val="22"/>
        </w:rPr>
        <w:t>claims</w:t>
      </w:r>
      <w:proofErr w:type="spellEnd"/>
      <w:r w:rsidRPr="000004C3">
        <w:rPr>
          <w:rFonts w:asciiTheme="minorHAnsi" w:hAnsiTheme="minorHAnsi" w:cstheme="minorHAnsi"/>
          <w:color w:val="000000" w:themeColor="text1"/>
          <w:sz w:val="22"/>
          <w:szCs w:val="22"/>
        </w:rPr>
        <w:t xml:space="preserve"> junto ao Operador e deve enviar para 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os documentos comprobatórios do processo de tratativa dos </w:t>
      </w:r>
      <w:proofErr w:type="spellStart"/>
      <w:r w:rsidRPr="000004C3">
        <w:rPr>
          <w:rFonts w:asciiTheme="minorHAnsi" w:hAnsiTheme="minorHAnsi" w:cstheme="minorHAnsi"/>
          <w:i/>
          <w:color w:val="000000" w:themeColor="text1"/>
          <w:sz w:val="22"/>
          <w:szCs w:val="22"/>
        </w:rPr>
        <w:t>claims</w:t>
      </w:r>
      <w:proofErr w:type="spellEnd"/>
      <w:r w:rsidRPr="000004C3">
        <w:rPr>
          <w:rFonts w:asciiTheme="minorHAnsi" w:hAnsiTheme="minorHAnsi" w:cstheme="minorHAnsi"/>
          <w:color w:val="000000" w:themeColor="text1"/>
          <w:sz w:val="22"/>
          <w:szCs w:val="22"/>
        </w:rPr>
        <w:t>.</w:t>
      </w:r>
    </w:p>
    <w:p w:rsidR="009D5CBE" w:rsidRPr="000004C3" w:rsidRDefault="009D5CBE" w:rsidP="009D5CBE">
      <w:pPr>
        <w:pStyle w:val="PargrafodaLista"/>
        <w:spacing w:after="200" w:line="360" w:lineRule="auto"/>
        <w:ind w:left="1420"/>
        <w:jc w:val="both"/>
        <w:rPr>
          <w:rFonts w:asciiTheme="minorHAnsi" w:hAnsiTheme="minorHAnsi" w:cstheme="minorHAnsi"/>
          <w:sz w:val="22"/>
          <w:szCs w:val="22"/>
        </w:rPr>
      </w:pPr>
      <w:r w:rsidRPr="000004C3">
        <w:rPr>
          <w:rFonts w:asciiTheme="minorHAnsi" w:hAnsiTheme="minorHAnsi" w:cstheme="minorHAnsi"/>
          <w:sz w:val="22"/>
          <w:szCs w:val="22"/>
        </w:rPr>
        <w:t xml:space="preserve">Os tipos de </w:t>
      </w:r>
      <w:proofErr w:type="spellStart"/>
      <w:r w:rsidRPr="000004C3">
        <w:rPr>
          <w:rFonts w:asciiTheme="minorHAnsi" w:hAnsiTheme="minorHAnsi" w:cstheme="minorHAnsi"/>
          <w:i/>
          <w:sz w:val="22"/>
          <w:szCs w:val="22"/>
        </w:rPr>
        <w:t>claims</w:t>
      </w:r>
      <w:proofErr w:type="spellEnd"/>
      <w:r w:rsidRPr="000004C3">
        <w:rPr>
          <w:rFonts w:asciiTheme="minorHAnsi" w:hAnsiTheme="minorHAnsi" w:cstheme="minorHAnsi"/>
          <w:sz w:val="22"/>
          <w:szCs w:val="22"/>
        </w:rPr>
        <w:t xml:space="preserve"> que podem ocorrer são referentes a: </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Qualidade;</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Quantidade;</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proofErr w:type="spellStart"/>
      <w:r w:rsidRPr="000004C3">
        <w:rPr>
          <w:rFonts w:asciiTheme="minorHAnsi" w:hAnsiTheme="minorHAnsi" w:cstheme="minorHAnsi"/>
          <w:sz w:val="22"/>
          <w:szCs w:val="22"/>
        </w:rPr>
        <w:t>Sobrestadia</w:t>
      </w:r>
      <w:proofErr w:type="spellEnd"/>
      <w:r w:rsidRPr="000004C3">
        <w:rPr>
          <w:rFonts w:asciiTheme="minorHAnsi" w:hAnsiTheme="minorHAnsi" w:cstheme="minorHAnsi"/>
          <w:sz w:val="22"/>
          <w:szCs w:val="22"/>
        </w:rPr>
        <w:t xml:space="preserve"> (</w:t>
      </w:r>
      <w:proofErr w:type="spellStart"/>
      <w:r w:rsidRPr="000004C3">
        <w:rPr>
          <w:rFonts w:asciiTheme="minorHAnsi" w:hAnsiTheme="minorHAnsi" w:cstheme="minorHAnsi"/>
          <w:i/>
          <w:sz w:val="22"/>
          <w:szCs w:val="22"/>
        </w:rPr>
        <w:t>demurrage</w:t>
      </w:r>
      <w:proofErr w:type="spellEnd"/>
      <w:r w:rsidRPr="000004C3">
        <w:rPr>
          <w:rFonts w:asciiTheme="minorHAnsi" w:hAnsiTheme="minorHAnsi" w:cstheme="minorHAnsi"/>
          <w:sz w:val="22"/>
          <w:szCs w:val="22"/>
        </w:rPr>
        <w:t xml:space="preserve">). </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(Todos os tipos de </w:t>
      </w:r>
      <w:proofErr w:type="spellStart"/>
      <w:r w:rsidRPr="000004C3">
        <w:rPr>
          <w:rFonts w:asciiTheme="minorHAnsi" w:hAnsiTheme="minorHAnsi" w:cstheme="minorHAnsi"/>
          <w:i/>
          <w:color w:val="000000" w:themeColor="text1"/>
          <w:sz w:val="22"/>
          <w:szCs w:val="22"/>
        </w:rPr>
        <w:t>claim</w:t>
      </w:r>
      <w:proofErr w:type="spellEnd"/>
      <w:r w:rsidRPr="000004C3">
        <w:rPr>
          <w:rFonts w:asciiTheme="minorHAnsi" w:hAnsiTheme="minorHAnsi" w:cstheme="minorHAnsi"/>
          <w:color w:val="000000" w:themeColor="text1"/>
          <w:sz w:val="22"/>
          <w:szCs w:val="22"/>
        </w:rPr>
        <w:t xml:space="preserve"> estão previstos no </w:t>
      </w:r>
      <w:r w:rsidRPr="000004C3">
        <w:rPr>
          <w:rFonts w:asciiTheme="minorHAnsi" w:hAnsiTheme="minorHAnsi" w:cstheme="minorHAnsi"/>
          <w:i/>
          <w:color w:val="000000" w:themeColor="text1"/>
          <w:sz w:val="22"/>
          <w:szCs w:val="22"/>
        </w:rPr>
        <w:t xml:space="preserve">Lifting </w:t>
      </w:r>
      <w:proofErr w:type="spellStart"/>
      <w:r w:rsidRPr="000004C3">
        <w:rPr>
          <w:rFonts w:asciiTheme="minorHAnsi" w:hAnsiTheme="minorHAnsi" w:cstheme="minorHAnsi"/>
          <w:i/>
          <w:color w:val="000000" w:themeColor="text1"/>
          <w:sz w:val="22"/>
          <w:szCs w:val="22"/>
        </w:rPr>
        <w:t>Agreement</w:t>
      </w:r>
      <w:proofErr w:type="spellEnd"/>
      <w:r w:rsidRPr="000004C3">
        <w:rPr>
          <w:rFonts w:asciiTheme="minorHAnsi" w:hAnsiTheme="minorHAnsi" w:cstheme="minorHAnsi"/>
          <w:color w:val="000000" w:themeColor="text1"/>
          <w:sz w:val="22"/>
          <w:szCs w:val="22"/>
        </w:rPr>
        <w:t>)</w:t>
      </w:r>
    </w:p>
    <w:p w:rsidR="009D5CBE" w:rsidRPr="000004C3" w:rsidRDefault="009D5CBE" w:rsidP="009D5CBE">
      <w:pPr>
        <w:pStyle w:val="Style3"/>
        <w:numPr>
          <w:ilvl w:val="2"/>
          <w:numId w:val="2"/>
        </w:numPr>
        <w:rPr>
          <w:b/>
          <w:sz w:val="22"/>
          <w:szCs w:val="22"/>
        </w:rPr>
      </w:pPr>
      <w:r w:rsidRPr="000004C3">
        <w:rPr>
          <w:b/>
          <w:sz w:val="22"/>
          <w:szCs w:val="22"/>
        </w:rPr>
        <w:t>Relatórios e Publicações – Atividades 24, 25 e 29, ilustradas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 Superintendência de Comercialização de Óleo e Gás Natural deve dar publicidade, semestralmente, o relatório de avaliação do desempenho do AC, conforme definido na Política de Comercialização. A avaliação terá por objetivo uma análise crítica do processo de comercialização, tendo em vista a melhoria contínua do mesmo, podendo gerar recomendações para aperfeiçoamento. O AC terá acesso a todo relatório de desempenho do AC e terá 10 dias, a partir da sua disponibilização pela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para apresentar seus comentários.</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O relatório a ser publicado conterá, entre outras informações, o preço médio ponderado obtido no período de seis meses, cotejando-o com o preço mínimo para o petróleo publicado pela ANP, com as explicações para as diferenças.</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lastRenderedPageBreak/>
        <w:t xml:space="preserve">Além disso, mensalmente o Relatório de Prestação de Contas ao MME deve ser emitido, e também o Relatório com atualização do Óleo Total Comercializado, provenientes dos </w:t>
      </w:r>
      <w:proofErr w:type="spellStart"/>
      <w:r w:rsidRPr="000004C3">
        <w:rPr>
          <w:rFonts w:asciiTheme="minorHAnsi" w:hAnsiTheme="minorHAnsi" w:cstheme="minorHAnsi"/>
          <w:color w:val="000000" w:themeColor="text1"/>
          <w:sz w:val="22"/>
          <w:szCs w:val="22"/>
        </w:rPr>
        <w:t>CPPs</w:t>
      </w:r>
      <w:proofErr w:type="spellEnd"/>
      <w:r w:rsidRPr="000004C3">
        <w:rPr>
          <w:rFonts w:asciiTheme="minorHAnsi" w:hAnsiTheme="minorHAnsi" w:cstheme="minorHAnsi"/>
          <w:color w:val="000000" w:themeColor="text1"/>
          <w:sz w:val="22"/>
          <w:szCs w:val="22"/>
        </w:rPr>
        <w:t xml:space="preserve"> e </w:t>
      </w:r>
      <w:proofErr w:type="spellStart"/>
      <w:r w:rsidRPr="000004C3">
        <w:rPr>
          <w:rFonts w:asciiTheme="minorHAnsi" w:hAnsiTheme="minorHAnsi" w:cstheme="minorHAnsi"/>
          <w:color w:val="000000" w:themeColor="text1"/>
          <w:sz w:val="22"/>
          <w:szCs w:val="22"/>
        </w:rPr>
        <w:t>AIPs</w:t>
      </w:r>
      <w:proofErr w:type="spellEnd"/>
      <w:r w:rsidRPr="000004C3">
        <w:rPr>
          <w:rFonts w:asciiTheme="minorHAnsi" w:hAnsiTheme="minorHAnsi" w:cstheme="minorHAnsi"/>
          <w:color w:val="000000" w:themeColor="text1"/>
          <w:sz w:val="22"/>
          <w:szCs w:val="22"/>
        </w:rPr>
        <w:t>.</w:t>
      </w:r>
    </w:p>
    <w:p w:rsidR="009D5CBE" w:rsidRPr="000004C3" w:rsidRDefault="009D5CBE" w:rsidP="009D5CBE">
      <w:pPr>
        <w:pStyle w:val="Style3"/>
        <w:numPr>
          <w:ilvl w:val="2"/>
          <w:numId w:val="2"/>
        </w:numPr>
        <w:rPr>
          <w:sz w:val="22"/>
          <w:szCs w:val="22"/>
        </w:rPr>
      </w:pPr>
      <w:r w:rsidRPr="000004C3">
        <w:rPr>
          <w:b/>
          <w:sz w:val="22"/>
          <w:szCs w:val="22"/>
        </w:rPr>
        <w:t>Monitoramento – Atividades 26 e 27, ilustradas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O monitoramento das atividades de comercialização pela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será feito através do acompanhamento das ações adotadas pelo AC no processo de comercialização do petróleo da União a partir de contatos periódicos (frequência a ser definida).</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Para fins de avaliação das atividades do AC, o monitoramento se dará, sempre que possível, com observação de referências paramétricas de mercado. Estas referências serão usadas para avaliação das atividades prestadas pelo AC, mas não para cálculo do preço de transferência da União ao AC.</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As referências paramétricas serão negociadas com o AC, como por exemplo:</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Alívio;</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Transbordo;</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Frete de longo curso;</w:t>
      </w:r>
    </w:p>
    <w:p w:rsidR="009D5CBE" w:rsidRPr="000004C3" w:rsidRDefault="009D5CBE" w:rsidP="00106A68">
      <w:pPr>
        <w:pStyle w:val="PargrafodaLista"/>
        <w:numPr>
          <w:ilvl w:val="0"/>
          <w:numId w:val="5"/>
        </w:numPr>
        <w:spacing w:after="200" w:line="360" w:lineRule="auto"/>
        <w:ind w:left="1428" w:hanging="8"/>
        <w:jc w:val="both"/>
        <w:rPr>
          <w:rFonts w:asciiTheme="minorHAnsi" w:hAnsiTheme="minorHAnsi" w:cstheme="minorHAnsi"/>
          <w:sz w:val="22"/>
          <w:szCs w:val="22"/>
        </w:rPr>
      </w:pPr>
      <w:r w:rsidRPr="000004C3">
        <w:rPr>
          <w:rFonts w:asciiTheme="minorHAnsi" w:hAnsiTheme="minorHAnsi" w:cstheme="minorHAnsi"/>
          <w:sz w:val="22"/>
          <w:szCs w:val="22"/>
        </w:rPr>
        <w:t>Perdas: Será adotado o valor máximo admissível de 0,3% do volume da carga registrado no BL;</w:t>
      </w:r>
    </w:p>
    <w:p w:rsidR="009D5CBE" w:rsidRPr="000004C3" w:rsidRDefault="009D5CBE" w:rsidP="00106A68">
      <w:pPr>
        <w:pStyle w:val="PargrafodaLista"/>
        <w:numPr>
          <w:ilvl w:val="0"/>
          <w:numId w:val="5"/>
        </w:numPr>
        <w:spacing w:after="200" w:line="360" w:lineRule="auto"/>
        <w:ind w:left="993" w:firstLine="427"/>
        <w:jc w:val="both"/>
        <w:rPr>
          <w:rFonts w:asciiTheme="minorHAnsi" w:hAnsiTheme="minorHAnsi" w:cstheme="minorHAnsi"/>
          <w:sz w:val="22"/>
          <w:szCs w:val="22"/>
        </w:rPr>
      </w:pPr>
      <w:r w:rsidRPr="000004C3">
        <w:rPr>
          <w:rFonts w:asciiTheme="minorHAnsi" w:hAnsiTheme="minorHAnsi" w:cstheme="minorHAnsi"/>
          <w:sz w:val="22"/>
          <w:szCs w:val="22"/>
        </w:rPr>
        <w:t>Seguro: Será adotado o valor de 0,05% do preço da carga.</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Não obstante às fórmulas paramétricas, as informações reais serão disponibilizadas pelo AC para que 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possa verificar os custos e preços. Todas as informações serão disponibilizadas através de meio eletrônico, protegido e possível de ser rastreado, devendo ser usado o seguinte endereço eletrônico: ‘comercializacao@ppsa.gov.br’.</w:t>
      </w:r>
    </w:p>
    <w:p w:rsidR="009D5CBE" w:rsidRPr="000004C3" w:rsidRDefault="009D5CBE" w:rsidP="009D5CBE">
      <w:pPr>
        <w:pStyle w:val="Style3"/>
        <w:numPr>
          <w:ilvl w:val="2"/>
          <w:numId w:val="2"/>
        </w:numPr>
        <w:rPr>
          <w:sz w:val="22"/>
          <w:szCs w:val="22"/>
        </w:rPr>
      </w:pPr>
      <w:r w:rsidRPr="000004C3">
        <w:rPr>
          <w:b/>
          <w:sz w:val="22"/>
          <w:szCs w:val="22"/>
        </w:rPr>
        <w:t>Auditoria – Atividades 28 e 30, ilustradas no Padrão de Processo (Anexo I)</w:t>
      </w:r>
    </w:p>
    <w:p w:rsidR="009D5CBE" w:rsidRPr="000004C3" w:rsidRDefault="009D5CBE" w:rsidP="009D5CBE">
      <w:pPr>
        <w:spacing w:line="360" w:lineRule="auto"/>
        <w:ind w:left="998" w:firstLine="41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 xml:space="preserve">A Superintendência de Comercialização de Óleo e Gás Natural deve sinalizar pontos no processo para auditoria pela área de Assessoria Especial de Fiscalização, que pode realizá-la diretamente ou via preposto contratado. 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realizará auditoria nas operações, nos custos e nos preços de venda do petróleo, conforme previsto na Lei nº 12.304/2010 e Decreto nº 8.063/2013.</w:t>
      </w:r>
    </w:p>
    <w:p w:rsidR="00F43A06" w:rsidRPr="000004C3" w:rsidRDefault="00F43A06" w:rsidP="000C6A5A">
      <w:pPr>
        <w:pStyle w:val="Style2"/>
        <w:numPr>
          <w:ilvl w:val="1"/>
          <w:numId w:val="2"/>
        </w:numPr>
        <w:spacing w:before="240"/>
        <w:ind w:left="1072" w:hanging="431"/>
        <w:rPr>
          <w:b/>
          <w:sz w:val="22"/>
          <w:szCs w:val="22"/>
        </w:rPr>
      </w:pPr>
      <w:bookmarkStart w:id="14" w:name="_Toc492825314"/>
      <w:r w:rsidRPr="000004C3">
        <w:rPr>
          <w:b/>
          <w:sz w:val="22"/>
          <w:szCs w:val="22"/>
        </w:rPr>
        <w:lastRenderedPageBreak/>
        <w:t>Monitoramento do Processo</w:t>
      </w:r>
      <w:bookmarkEnd w:id="14"/>
    </w:p>
    <w:p w:rsidR="00F43A06" w:rsidRPr="000004C3" w:rsidRDefault="00F43A06" w:rsidP="000C6A5A">
      <w:pPr>
        <w:pStyle w:val="Style3"/>
        <w:numPr>
          <w:ilvl w:val="2"/>
          <w:numId w:val="2"/>
        </w:numPr>
        <w:ind w:left="1503" w:hanging="505"/>
        <w:rPr>
          <w:sz w:val="22"/>
          <w:szCs w:val="22"/>
        </w:rPr>
      </w:pPr>
      <w:r w:rsidRPr="000004C3">
        <w:rPr>
          <w:b/>
          <w:sz w:val="22"/>
          <w:szCs w:val="22"/>
        </w:rPr>
        <w:t>Monitoramento Gerencial (Indicadores de Performance do Processo):</w:t>
      </w:r>
    </w:p>
    <w:p w:rsidR="009D5CBE" w:rsidRPr="000004C3" w:rsidRDefault="009D5CBE" w:rsidP="009D5CBE">
      <w:pPr>
        <w:spacing w:line="360" w:lineRule="auto"/>
        <w:ind w:left="1022" w:firstLine="394"/>
        <w:jc w:val="both"/>
        <w:rPr>
          <w:rFonts w:asciiTheme="minorHAnsi" w:hAnsiTheme="minorHAnsi" w:cstheme="minorHAnsi"/>
          <w:sz w:val="22"/>
          <w:szCs w:val="22"/>
        </w:rPr>
      </w:pPr>
      <w:r w:rsidRPr="000004C3">
        <w:rPr>
          <w:rFonts w:asciiTheme="minorHAnsi" w:hAnsiTheme="minorHAnsi" w:cstheme="minorHAnsi"/>
          <w:color w:val="000000" w:themeColor="text1"/>
          <w:sz w:val="22"/>
          <w:szCs w:val="22"/>
        </w:rPr>
        <w:t xml:space="preserve">O Processo de Gestão dos Contratos para Comercialização deve ser suportado por Indicadores de Performance do Processo, conforme </w:t>
      </w:r>
      <w:r w:rsidRPr="000004C3">
        <w:rPr>
          <w:rFonts w:asciiTheme="minorHAnsi" w:hAnsiTheme="minorHAnsi" w:cstheme="minorHAnsi"/>
          <w:sz w:val="22"/>
          <w:szCs w:val="22"/>
        </w:rPr>
        <w:t>detalhamento no Anexo III. O Modelo de Governança dos Processos prevê a sistematização desses indicadores com a realização do Ciclo Trimestral de Acompanhamento dos Indicadores que envolve os Comitês Diretivo, Executivo e de Especialistas com as seguintes atividades:</w:t>
      </w:r>
    </w:p>
    <w:p w:rsidR="009D5CBE" w:rsidRPr="000004C3" w:rsidRDefault="009D5CBE" w:rsidP="009D5CBE">
      <w:pPr>
        <w:spacing w:line="360" w:lineRule="auto"/>
        <w:ind w:left="1022" w:firstLine="709"/>
        <w:jc w:val="both"/>
        <w:rPr>
          <w:rFonts w:asciiTheme="minorHAnsi" w:hAnsiTheme="minorHAnsi" w:cstheme="minorHAnsi"/>
          <w:sz w:val="22"/>
          <w:szCs w:val="22"/>
        </w:rPr>
      </w:pPr>
      <w:r w:rsidRPr="000004C3">
        <w:rPr>
          <w:rFonts w:asciiTheme="minorHAnsi" w:hAnsiTheme="minorHAnsi" w:cstheme="minorHAnsi"/>
          <w:sz w:val="22"/>
          <w:szCs w:val="22"/>
        </w:rPr>
        <w:t>a)</w:t>
      </w:r>
      <w:r w:rsidRPr="000004C3">
        <w:rPr>
          <w:rFonts w:asciiTheme="minorHAnsi" w:hAnsiTheme="minorHAnsi" w:cstheme="minorHAnsi"/>
          <w:sz w:val="22"/>
          <w:szCs w:val="22"/>
        </w:rPr>
        <w:tab/>
        <w:t>Analista responsável pel</w:t>
      </w:r>
      <w:r w:rsidRPr="000004C3">
        <w:rPr>
          <w:rFonts w:asciiTheme="minorHAnsi" w:hAnsiTheme="minorHAnsi" w:cstheme="minorHAnsi"/>
          <w:color w:val="000000" w:themeColor="text1"/>
          <w:sz w:val="22"/>
          <w:szCs w:val="22"/>
        </w:rPr>
        <w:t>a gestão dos indicadores na Superintendência de Comercialização de Óleo e Gás</w:t>
      </w:r>
      <w:r w:rsidRPr="000004C3">
        <w:rPr>
          <w:rFonts w:asciiTheme="minorHAnsi" w:hAnsiTheme="minorHAnsi" w:cstheme="minorHAnsi"/>
          <w:sz w:val="22"/>
          <w:szCs w:val="22"/>
        </w:rPr>
        <w:t xml:space="preserve"> deve gerar os indicadores e enviá-los via e-mail para análise do Comitê Executivo e do Comitê de Especialistas;</w:t>
      </w:r>
    </w:p>
    <w:p w:rsidR="009D5CBE" w:rsidRPr="000004C3" w:rsidRDefault="009D5CBE" w:rsidP="009D5CBE">
      <w:pPr>
        <w:spacing w:line="360" w:lineRule="auto"/>
        <w:ind w:left="1022" w:firstLine="709"/>
        <w:jc w:val="both"/>
        <w:rPr>
          <w:rFonts w:asciiTheme="minorHAnsi" w:hAnsiTheme="minorHAnsi" w:cstheme="minorHAnsi"/>
          <w:sz w:val="22"/>
          <w:szCs w:val="22"/>
        </w:rPr>
      </w:pPr>
      <w:r w:rsidRPr="000004C3">
        <w:rPr>
          <w:rFonts w:asciiTheme="minorHAnsi" w:hAnsiTheme="minorHAnsi" w:cstheme="minorHAnsi"/>
          <w:sz w:val="22"/>
          <w:szCs w:val="22"/>
        </w:rPr>
        <w:t>b)</w:t>
      </w:r>
      <w:r w:rsidRPr="000004C3">
        <w:rPr>
          <w:rFonts w:asciiTheme="minorHAnsi" w:hAnsiTheme="minorHAnsi" w:cstheme="minorHAnsi"/>
          <w:sz w:val="22"/>
          <w:szCs w:val="22"/>
        </w:rPr>
        <w:tab/>
        <w:t>Comitê Executivo e Comitê de Especialistas devem avaliar os indicadores gerados para cada processo em reunião e aprovar o envio ao Comitê Diretivo; e</w:t>
      </w:r>
    </w:p>
    <w:p w:rsidR="009D5CBE" w:rsidRPr="000004C3" w:rsidRDefault="009D5CBE" w:rsidP="009D5CBE">
      <w:pPr>
        <w:spacing w:line="360" w:lineRule="auto"/>
        <w:ind w:left="1022" w:firstLine="603"/>
        <w:jc w:val="both"/>
        <w:rPr>
          <w:rFonts w:asciiTheme="minorHAnsi" w:hAnsiTheme="minorHAnsi" w:cstheme="minorHAnsi"/>
          <w:sz w:val="22"/>
          <w:szCs w:val="22"/>
        </w:rPr>
      </w:pPr>
      <w:r w:rsidRPr="000004C3">
        <w:rPr>
          <w:rFonts w:asciiTheme="minorHAnsi" w:hAnsiTheme="minorHAnsi" w:cstheme="minorHAnsi"/>
          <w:sz w:val="22"/>
          <w:szCs w:val="22"/>
        </w:rPr>
        <w:t>c)</w:t>
      </w:r>
      <w:r w:rsidRPr="000004C3">
        <w:rPr>
          <w:rFonts w:asciiTheme="minorHAnsi" w:hAnsiTheme="minorHAnsi" w:cstheme="minorHAnsi"/>
          <w:sz w:val="22"/>
          <w:szCs w:val="22"/>
        </w:rPr>
        <w:tab/>
        <w:t xml:space="preserve">Comitê Diretivo e Comitê Executivo devem avaliar os resultados em reunião e elaborar plano de ação para os desvios apresentados. Arquivar resultados no </w:t>
      </w:r>
      <w:r w:rsidR="00F068CB" w:rsidRPr="000004C3">
        <w:rPr>
          <w:rFonts w:asciiTheme="minorHAnsi" w:hAnsiTheme="minorHAnsi" w:cstheme="minorHAnsi"/>
          <w:sz w:val="22"/>
          <w:szCs w:val="22"/>
        </w:rPr>
        <w:t>SGPP</w:t>
      </w:r>
      <w:r w:rsidRPr="000004C3">
        <w:rPr>
          <w:rFonts w:asciiTheme="minorHAnsi" w:hAnsiTheme="minorHAnsi" w:cstheme="minorHAnsi"/>
          <w:sz w:val="22"/>
          <w:szCs w:val="22"/>
        </w:rPr>
        <w:t xml:space="preserve"> ao final desse ciclo periódico.</w:t>
      </w:r>
    </w:p>
    <w:p w:rsidR="009D5CBE" w:rsidRPr="000004C3" w:rsidRDefault="009D5CBE" w:rsidP="009D5CBE">
      <w:pPr>
        <w:spacing w:line="360" w:lineRule="auto"/>
        <w:ind w:left="1022" w:firstLine="394"/>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Os indicadores (detalhados no Anexo III deste documento) previstos para o processo de Gestão dos Contratos para Comercialização são:</w:t>
      </w:r>
    </w:p>
    <w:p w:rsidR="009D5CBE" w:rsidRPr="000004C3" w:rsidRDefault="009D5CBE" w:rsidP="00106A68">
      <w:pPr>
        <w:pStyle w:val="PargrafodaLista"/>
        <w:numPr>
          <w:ilvl w:val="0"/>
          <w:numId w:val="15"/>
        </w:numPr>
        <w:spacing w:after="200" w:line="360" w:lineRule="auto"/>
        <w:ind w:left="229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Variação entre o orçado para a União e o realizado</w:t>
      </w:r>
    </w:p>
    <w:p w:rsidR="009D5CBE" w:rsidRPr="000004C3" w:rsidRDefault="009D5CBE" w:rsidP="00106A68">
      <w:pPr>
        <w:pStyle w:val="PargrafodaLista"/>
        <w:numPr>
          <w:ilvl w:val="0"/>
          <w:numId w:val="15"/>
        </w:numPr>
        <w:spacing w:after="200" w:line="360" w:lineRule="auto"/>
        <w:ind w:left="229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Variação do volume de óleo e gás da União previsto para embarque e o efetivo comercializado</w:t>
      </w:r>
    </w:p>
    <w:p w:rsidR="009D5CBE" w:rsidRPr="000004C3" w:rsidRDefault="009D5CBE" w:rsidP="00106A68">
      <w:pPr>
        <w:pStyle w:val="PargrafodaLista"/>
        <w:numPr>
          <w:ilvl w:val="0"/>
          <w:numId w:val="15"/>
        </w:numPr>
        <w:spacing w:after="200" w:line="360" w:lineRule="auto"/>
        <w:ind w:left="229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Assertividade do repasse de pagamento ao Fundo Social no prazo</w:t>
      </w:r>
    </w:p>
    <w:p w:rsidR="009D5CBE" w:rsidRPr="000004C3" w:rsidRDefault="009D5CBE" w:rsidP="00106A68">
      <w:pPr>
        <w:pStyle w:val="PargrafodaLista"/>
        <w:numPr>
          <w:ilvl w:val="0"/>
          <w:numId w:val="15"/>
        </w:numPr>
        <w:spacing w:after="200" w:line="360" w:lineRule="auto"/>
        <w:ind w:left="229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Variações de preço FOB em relação ao preço referência paramétrica</w:t>
      </w:r>
    </w:p>
    <w:p w:rsidR="009D5CBE" w:rsidRPr="000004C3" w:rsidRDefault="009D5CBE" w:rsidP="00106A68">
      <w:pPr>
        <w:pStyle w:val="PargrafodaLista"/>
        <w:numPr>
          <w:ilvl w:val="0"/>
          <w:numId w:val="15"/>
        </w:numPr>
        <w:spacing w:after="200" w:line="360" w:lineRule="auto"/>
        <w:ind w:left="2298"/>
        <w:jc w:val="both"/>
        <w:rPr>
          <w:rFonts w:asciiTheme="minorHAnsi" w:hAnsiTheme="minorHAnsi" w:cstheme="minorHAnsi"/>
          <w:color w:val="000000" w:themeColor="text1"/>
          <w:sz w:val="22"/>
          <w:szCs w:val="22"/>
        </w:rPr>
      </w:pPr>
      <w:r w:rsidRPr="000004C3">
        <w:rPr>
          <w:rFonts w:asciiTheme="minorHAnsi" w:hAnsiTheme="minorHAnsi" w:cstheme="minorHAnsi"/>
          <w:color w:val="000000" w:themeColor="text1"/>
          <w:sz w:val="22"/>
          <w:szCs w:val="22"/>
        </w:rPr>
        <w:t>Variação dos custos de comercialização em relação às referências paramétricas.</w:t>
      </w:r>
    </w:p>
    <w:p w:rsidR="009D5CBE" w:rsidRPr="000004C3" w:rsidRDefault="009D5CBE" w:rsidP="009D5CBE">
      <w:pPr>
        <w:pStyle w:val="Style3"/>
        <w:numPr>
          <w:ilvl w:val="2"/>
          <w:numId w:val="2"/>
        </w:numPr>
        <w:ind w:left="1503" w:hanging="505"/>
        <w:rPr>
          <w:sz w:val="22"/>
          <w:szCs w:val="22"/>
        </w:rPr>
      </w:pPr>
      <w:r w:rsidRPr="000004C3">
        <w:rPr>
          <w:b/>
          <w:sz w:val="22"/>
          <w:szCs w:val="22"/>
        </w:rPr>
        <w:t>Monitoramento Técnico:</w:t>
      </w:r>
    </w:p>
    <w:p w:rsidR="009D5CBE" w:rsidRPr="000004C3" w:rsidRDefault="009D5CBE" w:rsidP="009D5CBE">
      <w:pPr>
        <w:spacing w:line="360" w:lineRule="auto"/>
        <w:ind w:left="998" w:firstLine="709"/>
        <w:jc w:val="both"/>
        <w:rPr>
          <w:rFonts w:asciiTheme="minorHAnsi" w:hAnsiTheme="minorHAnsi" w:cstheme="minorHAnsi"/>
          <w:sz w:val="22"/>
          <w:szCs w:val="22"/>
        </w:rPr>
      </w:pPr>
      <w:r w:rsidRPr="000004C3">
        <w:rPr>
          <w:rFonts w:asciiTheme="minorHAnsi" w:hAnsiTheme="minorHAnsi" w:cstheme="minorHAnsi"/>
          <w:color w:val="000000" w:themeColor="text1"/>
          <w:sz w:val="22"/>
          <w:szCs w:val="22"/>
        </w:rPr>
        <w:t xml:space="preserve">O Processo de Gestão dos Contratos para Comercialização prevê o monitoramento técnico em complemento ao monitoramento gerencial para suportar a Superintendência de Comercialização da </w:t>
      </w:r>
      <w:r w:rsidR="00F068CB" w:rsidRPr="000004C3">
        <w:rPr>
          <w:rFonts w:asciiTheme="minorHAnsi" w:hAnsiTheme="minorHAnsi" w:cstheme="minorHAnsi"/>
          <w:color w:val="000000" w:themeColor="text1"/>
          <w:sz w:val="22"/>
          <w:szCs w:val="22"/>
        </w:rPr>
        <w:t>Pré-Sal Petróleo</w:t>
      </w:r>
      <w:r w:rsidRPr="000004C3">
        <w:rPr>
          <w:rFonts w:asciiTheme="minorHAnsi" w:hAnsiTheme="minorHAnsi" w:cstheme="minorHAnsi"/>
          <w:color w:val="000000" w:themeColor="text1"/>
          <w:sz w:val="22"/>
          <w:szCs w:val="22"/>
        </w:rPr>
        <w:t xml:space="preserve"> no acompanhamento e controle dos contratos com </w:t>
      </w:r>
      <w:proofErr w:type="gramStart"/>
      <w:r w:rsidRPr="000004C3">
        <w:rPr>
          <w:rFonts w:asciiTheme="minorHAnsi" w:hAnsiTheme="minorHAnsi" w:cstheme="minorHAnsi"/>
          <w:color w:val="000000" w:themeColor="text1"/>
          <w:sz w:val="22"/>
          <w:szCs w:val="22"/>
        </w:rPr>
        <w:t>o(</w:t>
      </w:r>
      <w:proofErr w:type="gramEnd"/>
      <w:r w:rsidRPr="000004C3">
        <w:rPr>
          <w:rFonts w:asciiTheme="minorHAnsi" w:hAnsiTheme="minorHAnsi" w:cstheme="minorHAnsi"/>
          <w:color w:val="000000" w:themeColor="text1"/>
          <w:sz w:val="22"/>
          <w:szCs w:val="22"/>
        </w:rPr>
        <w:t>s) AC(s).</w:t>
      </w:r>
      <w:r w:rsidRPr="000004C3">
        <w:rPr>
          <w:rFonts w:asciiTheme="minorHAnsi" w:hAnsiTheme="minorHAnsi" w:cstheme="minorHAnsi"/>
          <w:sz w:val="22"/>
          <w:szCs w:val="22"/>
        </w:rPr>
        <w:t xml:space="preserve"> </w:t>
      </w:r>
    </w:p>
    <w:p w:rsidR="009D5CBE" w:rsidRPr="000004C3" w:rsidRDefault="009D5CBE" w:rsidP="009D5CBE">
      <w:pPr>
        <w:spacing w:line="360" w:lineRule="auto"/>
        <w:ind w:left="998"/>
        <w:jc w:val="both"/>
        <w:rPr>
          <w:rFonts w:asciiTheme="minorHAnsi" w:hAnsiTheme="minorHAnsi" w:cstheme="minorHAnsi"/>
          <w:sz w:val="22"/>
          <w:szCs w:val="22"/>
        </w:rPr>
      </w:pPr>
      <w:r w:rsidRPr="000004C3">
        <w:rPr>
          <w:rFonts w:asciiTheme="minorHAnsi" w:hAnsiTheme="minorHAnsi" w:cstheme="minorHAnsi"/>
          <w:sz w:val="22"/>
          <w:szCs w:val="22"/>
        </w:rPr>
        <w:lastRenderedPageBreak/>
        <w:tab/>
        <w:t xml:space="preserve">O monitoramento das atividades de comercialização pela </w:t>
      </w:r>
      <w:r w:rsidR="00F068CB" w:rsidRPr="000004C3">
        <w:rPr>
          <w:rFonts w:asciiTheme="minorHAnsi" w:hAnsiTheme="minorHAnsi" w:cstheme="minorHAnsi"/>
          <w:sz w:val="22"/>
          <w:szCs w:val="22"/>
        </w:rPr>
        <w:t>Pré-Sal Petróleo</w:t>
      </w:r>
      <w:r w:rsidRPr="000004C3">
        <w:rPr>
          <w:rFonts w:asciiTheme="minorHAnsi" w:hAnsiTheme="minorHAnsi" w:cstheme="minorHAnsi"/>
          <w:sz w:val="22"/>
          <w:szCs w:val="22"/>
        </w:rPr>
        <w:t xml:space="preserve"> será feito através do acompanhamento das ações adotadas pelo AC no processo de comercialização do petróleo da União.</w:t>
      </w:r>
    </w:p>
    <w:p w:rsidR="009D5CBE" w:rsidRPr="000004C3" w:rsidRDefault="009D5CBE" w:rsidP="009D5CBE">
      <w:pPr>
        <w:spacing w:line="360" w:lineRule="auto"/>
        <w:ind w:left="998" w:firstLine="418"/>
        <w:jc w:val="both"/>
        <w:rPr>
          <w:rFonts w:asciiTheme="minorHAnsi" w:hAnsiTheme="minorHAnsi" w:cstheme="minorHAnsi"/>
          <w:sz w:val="22"/>
          <w:szCs w:val="22"/>
        </w:rPr>
      </w:pPr>
      <w:r w:rsidRPr="000004C3">
        <w:rPr>
          <w:rFonts w:asciiTheme="minorHAnsi" w:hAnsiTheme="minorHAnsi" w:cstheme="minorHAnsi"/>
          <w:sz w:val="22"/>
          <w:szCs w:val="22"/>
        </w:rPr>
        <w:t>Todas as informações serão disponibilizadas através de meio eletrônico, protegido e possível de ser rastreado, devendo ser usado o seguinte endereço eletrônico: ‘comercializacao@ppsa.gov.br’.</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Farão parte do monitoramento:</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A programação dos carregamentos;</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Os contatos realizados pelo AC;</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Os preços dos petróleos concorrentes;</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As indicações de preço recebidas;</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As condições de fechamento do negócio;</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A contratação do frete de longo curso;</w:t>
      </w:r>
    </w:p>
    <w:p w:rsidR="009D5CBE"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Indicação e acompanhamento do mercado de frete que levaram ao preço do frete;</w:t>
      </w:r>
    </w:p>
    <w:p w:rsidR="009730D3" w:rsidRPr="000004C3" w:rsidRDefault="009D5CBE" w:rsidP="00106A68">
      <w:pPr>
        <w:pStyle w:val="PargrafodaLista"/>
        <w:numPr>
          <w:ilvl w:val="0"/>
          <w:numId w:val="16"/>
        </w:numPr>
        <w:spacing w:line="360" w:lineRule="auto"/>
        <w:jc w:val="both"/>
        <w:rPr>
          <w:rFonts w:asciiTheme="minorHAnsi" w:hAnsiTheme="minorHAnsi" w:cstheme="minorHAnsi"/>
          <w:sz w:val="22"/>
          <w:szCs w:val="22"/>
        </w:rPr>
      </w:pPr>
      <w:r w:rsidRPr="000004C3">
        <w:rPr>
          <w:rFonts w:asciiTheme="minorHAnsi" w:hAnsiTheme="minorHAnsi" w:cstheme="minorHAnsi"/>
          <w:sz w:val="22"/>
          <w:szCs w:val="22"/>
        </w:rPr>
        <w:t>Outras ações que impactem nos custos e preços.</w:t>
      </w:r>
    </w:p>
    <w:p w:rsidR="000004C3" w:rsidRPr="000004C3" w:rsidRDefault="000004C3" w:rsidP="000004C3">
      <w:pPr>
        <w:pStyle w:val="Style2"/>
        <w:numPr>
          <w:ilvl w:val="1"/>
          <w:numId w:val="2"/>
        </w:numPr>
        <w:spacing w:before="240"/>
        <w:ind w:left="1072" w:hanging="431"/>
        <w:rPr>
          <w:b/>
          <w:sz w:val="22"/>
          <w:szCs w:val="22"/>
        </w:rPr>
      </w:pPr>
      <w:bookmarkStart w:id="15" w:name="_Toc492825315"/>
      <w:r w:rsidRPr="000004C3">
        <w:rPr>
          <w:b/>
          <w:sz w:val="22"/>
          <w:szCs w:val="22"/>
        </w:rPr>
        <w:t>Prazos</w:t>
      </w:r>
      <w:bookmarkEnd w:id="15"/>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Política de Comercialização: tem prazo definido de 36 meses a partir de 24 de janeiro de 2017.</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 xml:space="preserve">Os prazos de execução e vigência do Contrato se iniciarão na data de sua assinatura e vigorarão até sua data final. </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 xml:space="preserve">A data da assinatura do Contrato está prevista para até 30 dias antes do início da comercialização. </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Envio da estimativa de direitos óleo pelo Operador: o envio dos dados de produção deve ser realizado com uma antecedência de 02 meses, sendo necessário enviar sempre a estimativa para M, M-1 e M-2 (detalhamento do cronograma vide Anexo V).</w:t>
      </w:r>
    </w:p>
    <w:p w:rsidR="000004C3" w:rsidRPr="000004C3" w:rsidRDefault="000004C3" w:rsidP="000004C3">
      <w:pPr>
        <w:pStyle w:val="PargrafodaLista"/>
        <w:numPr>
          <w:ilvl w:val="0"/>
          <w:numId w:val="17"/>
        </w:numPr>
        <w:spacing w:after="200" w:line="360" w:lineRule="auto"/>
        <w:ind w:left="1134" w:hanging="429"/>
        <w:jc w:val="both"/>
        <w:rPr>
          <w:rFonts w:asciiTheme="minorHAnsi" w:eastAsia="Times New Roman" w:hAnsiTheme="minorHAnsi" w:cstheme="minorHAnsi"/>
          <w:bCs/>
          <w:iCs/>
          <w:color w:val="000000" w:themeColor="text1"/>
          <w:w w:val="105"/>
          <w:sz w:val="22"/>
          <w:szCs w:val="22"/>
        </w:rPr>
      </w:pPr>
      <w:r w:rsidRPr="000004C3">
        <w:rPr>
          <w:rFonts w:asciiTheme="minorHAnsi" w:eastAsia="Times New Roman" w:hAnsiTheme="minorHAnsi" w:cstheme="minorHAnsi"/>
          <w:bCs/>
          <w:iCs/>
          <w:color w:val="000000" w:themeColor="text1"/>
          <w:w w:val="105"/>
          <w:sz w:val="22"/>
          <w:szCs w:val="22"/>
        </w:rPr>
        <w:t>Receita advinda da comercialização das cargas que se destinem à exportação deverá ser depositada pelo AC diretamente à Conta Única do Tesouro Nacional, 30 dias após o BL (data do BL excluída).</w:t>
      </w:r>
    </w:p>
    <w:p w:rsidR="000004C3" w:rsidRPr="000004C3" w:rsidRDefault="000004C3" w:rsidP="000004C3">
      <w:pPr>
        <w:pStyle w:val="PargrafodaLista"/>
        <w:numPr>
          <w:ilvl w:val="0"/>
          <w:numId w:val="17"/>
        </w:numPr>
        <w:spacing w:after="200" w:line="360" w:lineRule="auto"/>
        <w:ind w:left="1134" w:hanging="429"/>
        <w:jc w:val="both"/>
        <w:rPr>
          <w:rFonts w:asciiTheme="minorHAnsi" w:eastAsia="Times New Roman" w:hAnsiTheme="minorHAnsi" w:cstheme="minorHAnsi"/>
          <w:bCs/>
          <w:iCs/>
          <w:color w:val="000000" w:themeColor="text1"/>
          <w:w w:val="105"/>
          <w:sz w:val="22"/>
          <w:szCs w:val="22"/>
        </w:rPr>
      </w:pPr>
      <w:r w:rsidRPr="000004C3">
        <w:rPr>
          <w:rFonts w:asciiTheme="minorHAnsi" w:eastAsia="Times New Roman" w:hAnsiTheme="minorHAnsi" w:cstheme="minorHAnsi"/>
          <w:bCs/>
          <w:iCs/>
          <w:color w:val="000000" w:themeColor="text1"/>
          <w:w w:val="105"/>
          <w:sz w:val="22"/>
          <w:szCs w:val="22"/>
        </w:rPr>
        <w:t xml:space="preserve">Receita advinda da comercialização das cargas que se destinem ao mercado doméstico deverá ser depositada pelo AC diretamente à Conta Única do Tesouro Nacional até o décimo dia do mês subsequente ao do carregamento. </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lastRenderedPageBreak/>
        <w:t>O AC deve efetuar, na data do vencimento, transferência da receita da União, através de – Guia de Recolhimento da União – GRU - à Conta Única do Tesouro Nacional e apresentar à Pré-Sal Petróleo os comprovantes de recolhimento, até dois dias após os mesmos.</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 xml:space="preserve">O AC deve apresentar toda a documentação suporte (como por exemplo, contrato de venda ao cliente final, </w:t>
      </w:r>
      <w:r w:rsidRPr="000004C3">
        <w:rPr>
          <w:rFonts w:asciiTheme="minorHAnsi" w:hAnsiTheme="minorHAnsi" w:cstheme="minorHAnsi"/>
          <w:color w:val="000000" w:themeColor="text1"/>
          <w:w w:val="105"/>
          <w:szCs w:val="22"/>
        </w:rPr>
        <w:t>charter</w:t>
      </w:r>
      <w:r w:rsidRPr="000004C3">
        <w:rPr>
          <w:rFonts w:asciiTheme="minorHAnsi" w:hAnsiTheme="minorHAnsi" w:cstheme="minorHAnsi"/>
          <w:i w:val="0"/>
          <w:color w:val="000000" w:themeColor="text1"/>
          <w:w w:val="105"/>
          <w:szCs w:val="22"/>
        </w:rPr>
        <w:t xml:space="preserve"> </w:t>
      </w:r>
      <w:proofErr w:type="spellStart"/>
      <w:r w:rsidRPr="000004C3">
        <w:rPr>
          <w:rFonts w:asciiTheme="minorHAnsi" w:hAnsiTheme="minorHAnsi" w:cstheme="minorHAnsi"/>
          <w:color w:val="000000" w:themeColor="text1"/>
          <w:w w:val="105"/>
          <w:szCs w:val="22"/>
        </w:rPr>
        <w:t>party</w:t>
      </w:r>
      <w:proofErr w:type="spellEnd"/>
      <w:r w:rsidRPr="000004C3">
        <w:rPr>
          <w:rFonts w:asciiTheme="minorHAnsi" w:hAnsiTheme="minorHAnsi" w:cstheme="minorHAnsi"/>
          <w:i w:val="0"/>
          <w:color w:val="000000" w:themeColor="text1"/>
          <w:w w:val="105"/>
          <w:szCs w:val="22"/>
        </w:rPr>
        <w:t xml:space="preserve"> ou comprovação do valor do frete, oferta de outros compradores) até dez dias antes da data da emissão do documento fiscal, pela Pré-Sal Petróleo, referente ao carregamento.</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O AC deve fornecer toda a documentação suporte para que seja emitida nota fiscal complementar, até 3 dias úteis após a formação do valor final, no caso de o valor final ser conhecido após repasse do AC à Conta Única do Tesouro Nacional.</w:t>
      </w:r>
    </w:p>
    <w:p w:rsidR="000004C3" w:rsidRP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pPr>
      <w:r w:rsidRPr="000004C3">
        <w:rPr>
          <w:rFonts w:asciiTheme="minorHAnsi" w:hAnsiTheme="minorHAnsi" w:cstheme="minorHAnsi"/>
          <w:i w:val="0"/>
          <w:color w:val="000000" w:themeColor="text1"/>
          <w:w w:val="105"/>
          <w:szCs w:val="22"/>
        </w:rPr>
        <w:t>A Pré-Sal Petróleo deve atestar, em 5 dias úteis do recebimento da documentação suporte, todos os custos incorridos efetuando a sua validação em conformidade com as melhores práticas internacionais.</w:t>
      </w:r>
    </w:p>
    <w:p w:rsidR="000004C3" w:rsidRDefault="000004C3" w:rsidP="000004C3">
      <w:pPr>
        <w:pStyle w:val="Corpodetexto"/>
        <w:numPr>
          <w:ilvl w:val="0"/>
          <w:numId w:val="17"/>
        </w:numPr>
        <w:kinsoku w:val="0"/>
        <w:overflowPunct w:val="0"/>
        <w:spacing w:before="121" w:line="360" w:lineRule="auto"/>
        <w:ind w:left="1134" w:right="-45" w:hanging="429"/>
        <w:rPr>
          <w:rFonts w:asciiTheme="minorHAnsi" w:hAnsiTheme="minorHAnsi" w:cstheme="minorHAnsi"/>
          <w:i w:val="0"/>
          <w:color w:val="000000" w:themeColor="text1"/>
          <w:w w:val="105"/>
          <w:szCs w:val="22"/>
        </w:rPr>
        <w:sectPr w:rsidR="000004C3" w:rsidSect="00042F7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080" w:bottom="1440" w:left="1080" w:header="708" w:footer="0" w:gutter="0"/>
          <w:pgNumType w:fmt="numberInDash"/>
          <w:cols w:space="708"/>
          <w:docGrid w:linePitch="360"/>
        </w:sectPr>
      </w:pPr>
      <w:r w:rsidRPr="000004C3">
        <w:rPr>
          <w:rFonts w:asciiTheme="minorHAnsi" w:hAnsiTheme="minorHAnsi" w:cstheme="minorHAnsi"/>
          <w:i w:val="0"/>
          <w:color w:val="000000" w:themeColor="text1"/>
          <w:w w:val="105"/>
          <w:szCs w:val="22"/>
        </w:rPr>
        <w:t>A data da assinatura do Contrato está prevista para até 30 dias antes do início da comercialização,</w:t>
      </w:r>
      <w:r>
        <w:rPr>
          <w:rFonts w:asciiTheme="minorHAnsi" w:hAnsiTheme="minorHAnsi" w:cstheme="minorHAnsi"/>
          <w:i w:val="0"/>
          <w:color w:val="000000" w:themeColor="text1"/>
          <w:w w:val="105"/>
          <w:szCs w:val="22"/>
        </w:rPr>
        <w:t xml:space="preserve"> prevista para setembro de 2017.</w:t>
      </w:r>
    </w:p>
    <w:p w:rsidR="00F43A06" w:rsidRPr="000004C3" w:rsidRDefault="00F43A06" w:rsidP="000004C3">
      <w:pPr>
        <w:spacing w:after="160" w:line="259" w:lineRule="auto"/>
        <w:rPr>
          <w:rFonts w:asciiTheme="minorHAnsi" w:eastAsia="Times New Roman" w:hAnsiTheme="minorHAnsi" w:cstheme="minorHAnsi"/>
          <w:color w:val="000000" w:themeColor="text1"/>
          <w:sz w:val="22"/>
          <w:szCs w:val="22"/>
        </w:rPr>
      </w:pPr>
    </w:p>
    <w:p w:rsidR="00F43A06" w:rsidRPr="000004C3" w:rsidRDefault="007254CF" w:rsidP="000004C3">
      <w:pPr>
        <w:pStyle w:val="Style1"/>
        <w:rPr>
          <w:b/>
          <w:sz w:val="22"/>
          <w:szCs w:val="22"/>
        </w:rPr>
      </w:pPr>
      <w:bookmarkStart w:id="16" w:name="_Toc492825316"/>
      <w:r w:rsidRPr="000004C3">
        <w:rPr>
          <w:b/>
          <w:sz w:val="22"/>
          <w:szCs w:val="22"/>
        </w:rPr>
        <w:t>Índice de Revisões</w:t>
      </w:r>
      <w:bookmarkEnd w:id="16"/>
    </w:p>
    <w:tbl>
      <w:tblPr>
        <w:tblStyle w:val="Tabelacomgrade"/>
        <w:tblW w:w="9352" w:type="dxa"/>
        <w:jc w:val="center"/>
        <w:tblLayout w:type="fixed"/>
        <w:tblLook w:val="04A0" w:firstRow="1" w:lastRow="0" w:firstColumn="1" w:lastColumn="0" w:noHBand="0" w:noVBand="1"/>
      </w:tblPr>
      <w:tblGrid>
        <w:gridCol w:w="732"/>
        <w:gridCol w:w="852"/>
        <w:gridCol w:w="863"/>
        <w:gridCol w:w="863"/>
        <w:gridCol w:w="863"/>
        <w:gridCol w:w="863"/>
        <w:gridCol w:w="863"/>
        <w:gridCol w:w="863"/>
        <w:gridCol w:w="863"/>
        <w:gridCol w:w="863"/>
        <w:gridCol w:w="864"/>
      </w:tblGrid>
      <w:tr w:rsidR="000004C3" w:rsidRPr="00782700" w:rsidTr="000004C3">
        <w:trPr>
          <w:jc w:val="center"/>
        </w:trPr>
        <w:tc>
          <w:tcPr>
            <w:tcW w:w="9352" w:type="dxa"/>
            <w:gridSpan w:val="11"/>
          </w:tcPr>
          <w:p w:rsidR="000004C3" w:rsidRPr="00C85FAF" w:rsidRDefault="000004C3" w:rsidP="000004C3">
            <w:pPr>
              <w:jc w:val="center"/>
              <w:rPr>
                <w:rFonts w:asciiTheme="minorHAnsi" w:hAnsiTheme="minorHAnsi"/>
                <w:szCs w:val="18"/>
              </w:rPr>
            </w:pPr>
            <w:r w:rsidRPr="00C85FAF">
              <w:rPr>
                <w:rFonts w:asciiTheme="minorHAnsi" w:hAnsiTheme="minorHAnsi"/>
                <w:sz w:val="22"/>
                <w:szCs w:val="18"/>
              </w:rPr>
              <w:t>ÍNDICE DE REVISÕES</w:t>
            </w:r>
          </w:p>
        </w:tc>
      </w:tr>
      <w:tr w:rsidR="000004C3" w:rsidRPr="00C85FAF" w:rsidTr="000004C3">
        <w:trPr>
          <w:jc w:val="center"/>
        </w:trPr>
        <w:tc>
          <w:tcPr>
            <w:tcW w:w="732" w:type="dxa"/>
          </w:tcPr>
          <w:p w:rsidR="000004C3" w:rsidRPr="00C85FAF" w:rsidRDefault="000004C3" w:rsidP="000004C3">
            <w:pPr>
              <w:jc w:val="center"/>
              <w:rPr>
                <w:rFonts w:asciiTheme="minorHAnsi" w:hAnsiTheme="minorHAnsi"/>
                <w:sz w:val="18"/>
                <w:szCs w:val="18"/>
              </w:rPr>
            </w:pPr>
            <w:r w:rsidRPr="00C85FAF">
              <w:rPr>
                <w:rFonts w:asciiTheme="minorHAnsi" w:hAnsiTheme="minorHAnsi"/>
                <w:sz w:val="18"/>
                <w:szCs w:val="18"/>
              </w:rPr>
              <w:t>REV.</w:t>
            </w:r>
          </w:p>
        </w:tc>
        <w:tc>
          <w:tcPr>
            <w:tcW w:w="8620" w:type="dxa"/>
            <w:gridSpan w:val="10"/>
          </w:tcPr>
          <w:p w:rsidR="000004C3" w:rsidRPr="00C85FAF" w:rsidRDefault="000004C3" w:rsidP="000004C3">
            <w:pPr>
              <w:jc w:val="center"/>
              <w:rPr>
                <w:rFonts w:asciiTheme="minorHAnsi" w:hAnsiTheme="minorHAnsi"/>
                <w:sz w:val="18"/>
                <w:szCs w:val="18"/>
              </w:rPr>
            </w:pPr>
            <w:r w:rsidRPr="00C85FAF">
              <w:rPr>
                <w:rFonts w:asciiTheme="minorHAnsi" w:hAnsiTheme="minorHAnsi"/>
                <w:sz w:val="22"/>
                <w:szCs w:val="18"/>
              </w:rPr>
              <w:t>DESCRIÇÃO</w:t>
            </w:r>
          </w:p>
        </w:tc>
      </w:tr>
      <w:tr w:rsidR="000004C3" w:rsidRPr="00C85FAF" w:rsidTr="000004C3">
        <w:trPr>
          <w:jc w:val="center"/>
        </w:trPr>
        <w:tc>
          <w:tcPr>
            <w:tcW w:w="732" w:type="dxa"/>
            <w:tcBorders>
              <w:bottom w:val="dotted" w:sz="4" w:space="0" w:color="A6A6A6" w:themeColor="background1" w:themeShade="A6"/>
            </w:tcBorders>
          </w:tcPr>
          <w:p w:rsidR="000004C3" w:rsidRPr="00C85FAF" w:rsidRDefault="000004C3" w:rsidP="000004C3">
            <w:pPr>
              <w:jc w:val="center"/>
              <w:rPr>
                <w:rFonts w:asciiTheme="minorHAnsi" w:hAnsiTheme="minorHAnsi"/>
                <w:sz w:val="18"/>
                <w:szCs w:val="18"/>
              </w:rPr>
            </w:pPr>
            <w:r w:rsidRPr="00C85FAF">
              <w:rPr>
                <w:rFonts w:asciiTheme="minorHAnsi" w:hAnsiTheme="minorHAnsi"/>
                <w:sz w:val="18"/>
                <w:szCs w:val="18"/>
              </w:rPr>
              <w:t>0</w:t>
            </w:r>
          </w:p>
        </w:tc>
        <w:tc>
          <w:tcPr>
            <w:tcW w:w="8620" w:type="dxa"/>
            <w:gridSpan w:val="10"/>
            <w:tcBorders>
              <w:bottom w:val="dotted" w:sz="4" w:space="0" w:color="A6A6A6" w:themeColor="background1" w:themeShade="A6"/>
            </w:tcBorders>
          </w:tcPr>
          <w:p w:rsidR="000004C3" w:rsidRPr="00C85FAF" w:rsidRDefault="000004C3" w:rsidP="000004C3">
            <w:pPr>
              <w:rPr>
                <w:rFonts w:asciiTheme="minorHAnsi" w:hAnsiTheme="minorHAnsi"/>
                <w:sz w:val="18"/>
                <w:szCs w:val="18"/>
              </w:rPr>
            </w:pPr>
            <w:r w:rsidRPr="00C85FAF">
              <w:rPr>
                <w:rFonts w:asciiTheme="minorHAnsi" w:hAnsiTheme="minorHAnsi"/>
                <w:sz w:val="18"/>
                <w:szCs w:val="18"/>
              </w:rPr>
              <w:t>Original</w:t>
            </w:r>
          </w:p>
        </w:tc>
      </w:tr>
      <w:tr w:rsidR="000004C3" w:rsidRPr="00C85FAF" w:rsidTr="000004C3">
        <w:trPr>
          <w:jc w:val="center"/>
        </w:trPr>
        <w:tc>
          <w:tcPr>
            <w:tcW w:w="732" w:type="dxa"/>
            <w:tcBorders>
              <w:top w:val="dotted" w:sz="4" w:space="0" w:color="A6A6A6" w:themeColor="background1" w:themeShade="A6"/>
              <w:bottom w:val="dotted" w:sz="4" w:space="0" w:color="A6A6A6" w:themeColor="background1" w:themeShade="A6"/>
            </w:tcBorders>
          </w:tcPr>
          <w:p w:rsidR="000004C3" w:rsidRPr="00C85FAF" w:rsidRDefault="000004C3" w:rsidP="000004C3">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0004C3" w:rsidRPr="00C85FAF" w:rsidRDefault="000004C3" w:rsidP="000004C3">
            <w:pPr>
              <w:rPr>
                <w:rFonts w:asciiTheme="minorHAnsi" w:hAnsiTheme="minorHAnsi"/>
                <w:sz w:val="18"/>
                <w:szCs w:val="18"/>
              </w:rPr>
            </w:pPr>
          </w:p>
        </w:tc>
      </w:tr>
      <w:tr w:rsidR="000004C3" w:rsidRPr="00C85FAF" w:rsidTr="000004C3">
        <w:trPr>
          <w:jc w:val="center"/>
        </w:trPr>
        <w:tc>
          <w:tcPr>
            <w:tcW w:w="732" w:type="dxa"/>
            <w:tcBorders>
              <w:top w:val="dotted" w:sz="4" w:space="0" w:color="A6A6A6" w:themeColor="background1" w:themeShade="A6"/>
              <w:bottom w:val="dotted" w:sz="4" w:space="0" w:color="A6A6A6" w:themeColor="background1" w:themeShade="A6"/>
            </w:tcBorders>
          </w:tcPr>
          <w:p w:rsidR="000004C3" w:rsidRPr="00C85FAF" w:rsidRDefault="000004C3" w:rsidP="000004C3">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0004C3" w:rsidRPr="00C85FAF" w:rsidRDefault="000004C3" w:rsidP="000004C3">
            <w:pPr>
              <w:rPr>
                <w:rFonts w:asciiTheme="minorHAnsi" w:hAnsiTheme="minorHAnsi"/>
                <w:sz w:val="18"/>
                <w:szCs w:val="18"/>
              </w:rPr>
            </w:pPr>
          </w:p>
        </w:tc>
      </w:tr>
      <w:tr w:rsidR="000004C3" w:rsidRPr="00C85FAF" w:rsidTr="000004C3">
        <w:trPr>
          <w:jc w:val="center"/>
        </w:trPr>
        <w:tc>
          <w:tcPr>
            <w:tcW w:w="732" w:type="dxa"/>
            <w:tcBorders>
              <w:top w:val="dotted" w:sz="4" w:space="0" w:color="A6A6A6" w:themeColor="background1" w:themeShade="A6"/>
              <w:bottom w:val="dotted" w:sz="4" w:space="0" w:color="A6A6A6" w:themeColor="background1" w:themeShade="A6"/>
            </w:tcBorders>
          </w:tcPr>
          <w:p w:rsidR="000004C3" w:rsidRPr="00C85FAF" w:rsidRDefault="000004C3" w:rsidP="000004C3">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0004C3" w:rsidRPr="00C85FAF" w:rsidRDefault="000004C3" w:rsidP="000004C3">
            <w:pPr>
              <w:rPr>
                <w:rFonts w:asciiTheme="minorHAnsi" w:hAnsiTheme="minorHAnsi"/>
                <w:sz w:val="18"/>
                <w:szCs w:val="18"/>
              </w:rPr>
            </w:pPr>
          </w:p>
        </w:tc>
      </w:tr>
      <w:tr w:rsidR="000004C3" w:rsidRPr="00C85FAF" w:rsidTr="000004C3">
        <w:trPr>
          <w:jc w:val="center"/>
        </w:trPr>
        <w:tc>
          <w:tcPr>
            <w:tcW w:w="732" w:type="dxa"/>
            <w:tcBorders>
              <w:top w:val="dotted" w:sz="4" w:space="0" w:color="A6A6A6" w:themeColor="background1" w:themeShade="A6"/>
              <w:bottom w:val="dotted" w:sz="4" w:space="0" w:color="A6A6A6" w:themeColor="background1" w:themeShade="A6"/>
            </w:tcBorders>
          </w:tcPr>
          <w:p w:rsidR="000004C3" w:rsidRPr="00C85FAF" w:rsidRDefault="000004C3" w:rsidP="000004C3">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0004C3" w:rsidRPr="00C85FAF" w:rsidRDefault="000004C3" w:rsidP="000004C3">
            <w:pPr>
              <w:rPr>
                <w:rFonts w:asciiTheme="minorHAnsi" w:hAnsiTheme="minorHAnsi"/>
                <w:sz w:val="18"/>
                <w:szCs w:val="18"/>
              </w:rPr>
            </w:pPr>
          </w:p>
        </w:tc>
      </w:tr>
      <w:tr w:rsidR="000004C3" w:rsidRPr="00C85FAF" w:rsidTr="000004C3">
        <w:trPr>
          <w:jc w:val="center"/>
        </w:trPr>
        <w:tc>
          <w:tcPr>
            <w:tcW w:w="732" w:type="dxa"/>
            <w:tcBorders>
              <w:top w:val="dotted" w:sz="4" w:space="0" w:color="A6A6A6" w:themeColor="background1" w:themeShade="A6"/>
            </w:tcBorders>
          </w:tcPr>
          <w:p w:rsidR="000004C3" w:rsidRPr="00C85FAF" w:rsidRDefault="000004C3" w:rsidP="000004C3">
            <w:pPr>
              <w:jc w:val="center"/>
              <w:rPr>
                <w:rFonts w:asciiTheme="minorHAnsi" w:hAnsiTheme="minorHAnsi"/>
                <w:sz w:val="18"/>
                <w:szCs w:val="18"/>
              </w:rPr>
            </w:pPr>
          </w:p>
        </w:tc>
        <w:tc>
          <w:tcPr>
            <w:tcW w:w="8620" w:type="dxa"/>
            <w:gridSpan w:val="10"/>
            <w:tcBorders>
              <w:top w:val="dotted" w:sz="4" w:space="0" w:color="A6A6A6" w:themeColor="background1" w:themeShade="A6"/>
            </w:tcBorders>
          </w:tcPr>
          <w:p w:rsidR="000004C3" w:rsidRPr="00C85FAF" w:rsidRDefault="000004C3" w:rsidP="000004C3">
            <w:pPr>
              <w:rPr>
                <w:rFonts w:asciiTheme="minorHAnsi" w:hAnsiTheme="minorHAnsi"/>
                <w:sz w:val="18"/>
                <w:szCs w:val="18"/>
              </w:rPr>
            </w:pPr>
          </w:p>
        </w:tc>
      </w:tr>
      <w:tr w:rsidR="000004C3" w:rsidRPr="00C85FAF" w:rsidTr="000004C3">
        <w:trPr>
          <w:jc w:val="center"/>
        </w:trPr>
        <w:tc>
          <w:tcPr>
            <w:tcW w:w="1584" w:type="dxa"/>
            <w:gridSpan w:val="2"/>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ORIGINAL</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1</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2</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3</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4</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5</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REV.61</w:t>
            </w:r>
          </w:p>
        </w:tc>
        <w:tc>
          <w:tcPr>
            <w:tcW w:w="863"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7</w:t>
            </w:r>
          </w:p>
        </w:tc>
        <w:tc>
          <w:tcPr>
            <w:tcW w:w="864" w:type="dxa"/>
            <w:vAlign w:val="center"/>
          </w:tcPr>
          <w:p w:rsidR="000004C3" w:rsidRPr="00C85FAF" w:rsidRDefault="000004C3" w:rsidP="000004C3">
            <w:pPr>
              <w:jc w:val="center"/>
              <w:rPr>
                <w:rFonts w:asciiTheme="minorHAnsi" w:hAnsiTheme="minorHAnsi"/>
                <w:sz w:val="16"/>
                <w:szCs w:val="16"/>
              </w:rPr>
            </w:pPr>
            <w:r w:rsidRPr="00C85FAF">
              <w:rPr>
                <w:rFonts w:asciiTheme="minorHAnsi" w:hAnsiTheme="minorHAnsi"/>
                <w:sz w:val="16"/>
                <w:szCs w:val="16"/>
              </w:rPr>
              <w:t>REV. 8</w:t>
            </w:r>
          </w:p>
        </w:tc>
      </w:tr>
      <w:tr w:rsidR="000004C3" w:rsidRPr="00C85FAF" w:rsidTr="000004C3">
        <w:trPr>
          <w:jc w:val="center"/>
        </w:trPr>
        <w:tc>
          <w:tcPr>
            <w:tcW w:w="1584" w:type="dxa"/>
            <w:gridSpan w:val="2"/>
            <w:vAlign w:val="center"/>
          </w:tcPr>
          <w:p w:rsidR="000004C3" w:rsidRPr="00C85FAF" w:rsidRDefault="000004C3" w:rsidP="000004C3">
            <w:pPr>
              <w:rPr>
                <w:rFonts w:asciiTheme="minorHAnsi" w:hAnsiTheme="minorHAnsi"/>
                <w:sz w:val="16"/>
                <w:szCs w:val="16"/>
              </w:rPr>
            </w:pPr>
            <w:r w:rsidRPr="00C85FAF">
              <w:rPr>
                <w:rFonts w:asciiTheme="minorHAnsi" w:hAnsiTheme="minorHAnsi"/>
                <w:sz w:val="16"/>
                <w:szCs w:val="16"/>
              </w:rPr>
              <w:t>DATA</w:t>
            </w: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4" w:type="dxa"/>
            <w:vAlign w:val="center"/>
          </w:tcPr>
          <w:p w:rsidR="000004C3" w:rsidRPr="00C85FAF" w:rsidRDefault="000004C3" w:rsidP="000004C3">
            <w:pPr>
              <w:rPr>
                <w:rFonts w:asciiTheme="minorHAnsi" w:hAnsiTheme="minorHAnsi"/>
                <w:sz w:val="16"/>
                <w:szCs w:val="16"/>
              </w:rPr>
            </w:pPr>
          </w:p>
        </w:tc>
      </w:tr>
      <w:tr w:rsidR="000004C3" w:rsidRPr="00C85FAF" w:rsidTr="000004C3">
        <w:trPr>
          <w:jc w:val="center"/>
        </w:trPr>
        <w:tc>
          <w:tcPr>
            <w:tcW w:w="1584" w:type="dxa"/>
            <w:gridSpan w:val="2"/>
            <w:vAlign w:val="center"/>
          </w:tcPr>
          <w:p w:rsidR="000004C3" w:rsidRPr="00C85FAF" w:rsidRDefault="000004C3" w:rsidP="000004C3">
            <w:pPr>
              <w:rPr>
                <w:rFonts w:asciiTheme="minorHAnsi" w:hAnsiTheme="minorHAnsi"/>
                <w:sz w:val="16"/>
                <w:szCs w:val="16"/>
              </w:rPr>
            </w:pPr>
            <w:r w:rsidRPr="00C85FAF">
              <w:rPr>
                <w:rFonts w:asciiTheme="minorHAnsi" w:hAnsiTheme="minorHAnsi"/>
                <w:sz w:val="16"/>
                <w:szCs w:val="16"/>
              </w:rPr>
              <w:t>ELABORADO POR:</w:t>
            </w: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4" w:type="dxa"/>
            <w:vAlign w:val="center"/>
          </w:tcPr>
          <w:p w:rsidR="000004C3" w:rsidRPr="00C85FAF" w:rsidRDefault="000004C3" w:rsidP="000004C3">
            <w:pPr>
              <w:rPr>
                <w:rFonts w:asciiTheme="minorHAnsi" w:hAnsiTheme="minorHAnsi"/>
                <w:sz w:val="16"/>
                <w:szCs w:val="16"/>
              </w:rPr>
            </w:pPr>
          </w:p>
        </w:tc>
      </w:tr>
      <w:tr w:rsidR="000004C3" w:rsidRPr="00C85FAF" w:rsidTr="000004C3">
        <w:trPr>
          <w:jc w:val="center"/>
        </w:trPr>
        <w:tc>
          <w:tcPr>
            <w:tcW w:w="1584" w:type="dxa"/>
            <w:gridSpan w:val="2"/>
            <w:vAlign w:val="center"/>
          </w:tcPr>
          <w:p w:rsidR="000004C3" w:rsidRPr="00C85FAF" w:rsidRDefault="000004C3" w:rsidP="000004C3">
            <w:pPr>
              <w:rPr>
                <w:rFonts w:asciiTheme="minorHAnsi" w:hAnsiTheme="minorHAnsi"/>
                <w:sz w:val="16"/>
                <w:szCs w:val="16"/>
              </w:rPr>
            </w:pPr>
            <w:r w:rsidRPr="00C85FAF">
              <w:rPr>
                <w:rFonts w:asciiTheme="minorHAnsi" w:hAnsiTheme="minorHAnsi"/>
                <w:sz w:val="16"/>
                <w:szCs w:val="16"/>
              </w:rPr>
              <w:t>REVISADO POR:</w:t>
            </w: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4" w:type="dxa"/>
            <w:vAlign w:val="center"/>
          </w:tcPr>
          <w:p w:rsidR="000004C3" w:rsidRPr="00C85FAF" w:rsidRDefault="000004C3" w:rsidP="000004C3">
            <w:pPr>
              <w:rPr>
                <w:rFonts w:asciiTheme="minorHAnsi" w:hAnsiTheme="minorHAnsi"/>
                <w:sz w:val="16"/>
                <w:szCs w:val="16"/>
              </w:rPr>
            </w:pPr>
          </w:p>
        </w:tc>
      </w:tr>
      <w:tr w:rsidR="000004C3" w:rsidRPr="00C85FAF" w:rsidTr="000004C3">
        <w:trPr>
          <w:jc w:val="center"/>
        </w:trPr>
        <w:tc>
          <w:tcPr>
            <w:tcW w:w="1584" w:type="dxa"/>
            <w:gridSpan w:val="2"/>
            <w:vAlign w:val="center"/>
          </w:tcPr>
          <w:p w:rsidR="000004C3" w:rsidRPr="00C85FAF" w:rsidRDefault="000004C3" w:rsidP="000004C3">
            <w:pPr>
              <w:rPr>
                <w:rFonts w:asciiTheme="minorHAnsi" w:hAnsiTheme="minorHAnsi"/>
                <w:sz w:val="16"/>
                <w:szCs w:val="16"/>
              </w:rPr>
            </w:pPr>
            <w:r w:rsidRPr="00C85FAF">
              <w:rPr>
                <w:rFonts w:asciiTheme="minorHAnsi" w:hAnsiTheme="minorHAnsi"/>
                <w:sz w:val="16"/>
                <w:szCs w:val="16"/>
              </w:rPr>
              <w:t>APROVADO POR:</w:t>
            </w: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3" w:type="dxa"/>
            <w:vAlign w:val="center"/>
          </w:tcPr>
          <w:p w:rsidR="000004C3" w:rsidRPr="00C85FAF" w:rsidRDefault="000004C3" w:rsidP="000004C3">
            <w:pPr>
              <w:rPr>
                <w:rFonts w:asciiTheme="minorHAnsi" w:hAnsiTheme="minorHAnsi"/>
                <w:sz w:val="16"/>
                <w:szCs w:val="16"/>
              </w:rPr>
            </w:pPr>
          </w:p>
        </w:tc>
        <w:tc>
          <w:tcPr>
            <w:tcW w:w="864" w:type="dxa"/>
            <w:vAlign w:val="center"/>
          </w:tcPr>
          <w:p w:rsidR="000004C3" w:rsidRPr="00C85FAF" w:rsidRDefault="000004C3" w:rsidP="000004C3">
            <w:pPr>
              <w:rPr>
                <w:rFonts w:asciiTheme="minorHAnsi" w:hAnsiTheme="minorHAnsi"/>
                <w:sz w:val="16"/>
                <w:szCs w:val="16"/>
              </w:rPr>
            </w:pPr>
          </w:p>
        </w:tc>
      </w:tr>
    </w:tbl>
    <w:p w:rsidR="00506E0D" w:rsidRDefault="00506E0D" w:rsidP="007254CF">
      <w:pPr>
        <w:pStyle w:val="Style1"/>
        <w:numPr>
          <w:ilvl w:val="0"/>
          <w:numId w:val="0"/>
        </w:numPr>
      </w:pPr>
    </w:p>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Pr="00506E0D" w:rsidRDefault="00506E0D" w:rsidP="00506E0D"/>
    <w:p w:rsidR="00506E0D" w:rsidRDefault="00506E0D" w:rsidP="00506E0D"/>
    <w:p w:rsidR="00506E0D" w:rsidRPr="00506E0D" w:rsidRDefault="00506E0D" w:rsidP="00506E0D"/>
    <w:p w:rsidR="00506E0D" w:rsidRDefault="00506E0D" w:rsidP="00506E0D">
      <w:pPr>
        <w:jc w:val="right"/>
      </w:pPr>
    </w:p>
    <w:p w:rsidR="00506E0D" w:rsidRDefault="00506E0D" w:rsidP="00506E0D"/>
    <w:p w:rsidR="00502A6A" w:rsidRPr="00506E0D" w:rsidRDefault="00502A6A" w:rsidP="00506E0D">
      <w:pPr>
        <w:sectPr w:rsidR="00502A6A" w:rsidRPr="00506E0D" w:rsidSect="000004C3">
          <w:footerReference w:type="default" r:id="rId17"/>
          <w:pgSz w:w="11906" w:h="16838"/>
          <w:pgMar w:top="1440" w:right="1080" w:bottom="1440" w:left="1080" w:header="708" w:footer="0" w:gutter="0"/>
          <w:pgNumType w:fmt="numberInDash"/>
          <w:cols w:space="708"/>
          <w:docGrid w:linePitch="360"/>
        </w:sectPr>
      </w:pPr>
    </w:p>
    <w:p w:rsidR="00502A6A" w:rsidRPr="0030058B" w:rsidRDefault="00502A6A" w:rsidP="007254CF">
      <w:pPr>
        <w:pStyle w:val="Style1"/>
        <w:numPr>
          <w:ilvl w:val="0"/>
          <w:numId w:val="0"/>
        </w:numPr>
      </w:pPr>
    </w:p>
    <w:p w:rsidR="00502A6A" w:rsidRPr="0030058B" w:rsidRDefault="00502A6A" w:rsidP="007254CF">
      <w:pPr>
        <w:pStyle w:val="Style1"/>
        <w:numPr>
          <w:ilvl w:val="0"/>
          <w:numId w:val="0"/>
        </w:numPr>
      </w:pPr>
    </w:p>
    <w:p w:rsidR="00502A6A" w:rsidRPr="0030058B" w:rsidRDefault="00502A6A" w:rsidP="007254CF">
      <w:pPr>
        <w:pStyle w:val="Style1"/>
        <w:numPr>
          <w:ilvl w:val="0"/>
          <w:numId w:val="0"/>
        </w:numPr>
      </w:pPr>
    </w:p>
    <w:p w:rsidR="000004C3" w:rsidRPr="000004C3" w:rsidRDefault="00484A4B" w:rsidP="000004C3">
      <w:pPr>
        <w:pStyle w:val="Style1"/>
        <w:rPr>
          <w:b/>
          <w:sz w:val="22"/>
        </w:rPr>
      </w:pPr>
      <w:bookmarkStart w:id="17" w:name="_Toc492825317"/>
      <w:r w:rsidRPr="000004C3">
        <w:rPr>
          <w:b/>
          <w:sz w:val="22"/>
        </w:rPr>
        <w:t>Anexo</w:t>
      </w:r>
      <w:r w:rsidR="000004C3" w:rsidRPr="000004C3">
        <w:rPr>
          <w:b/>
          <w:sz w:val="22"/>
        </w:rPr>
        <w:t>s</w:t>
      </w:r>
      <w:bookmarkEnd w:id="17"/>
    </w:p>
    <w:p w:rsidR="00484A4B" w:rsidRPr="000004C3" w:rsidRDefault="000004C3" w:rsidP="000004C3">
      <w:pPr>
        <w:pStyle w:val="Style2"/>
        <w:numPr>
          <w:ilvl w:val="1"/>
          <w:numId w:val="2"/>
        </w:numPr>
        <w:rPr>
          <w:b/>
          <w:sz w:val="22"/>
        </w:rPr>
      </w:pPr>
      <w:bookmarkStart w:id="18" w:name="_Toc492825318"/>
      <w:r w:rsidRPr="000004C3">
        <w:rPr>
          <w:b/>
          <w:sz w:val="22"/>
        </w:rPr>
        <w:t xml:space="preserve">Anexo I - </w:t>
      </w:r>
      <w:r w:rsidR="00484A4B" w:rsidRPr="000004C3">
        <w:rPr>
          <w:b/>
          <w:sz w:val="22"/>
        </w:rPr>
        <w:t>Padrão de Processo</w:t>
      </w:r>
      <w:bookmarkEnd w:id="18"/>
    </w:p>
    <w:p w:rsidR="00502A6A" w:rsidRPr="0030058B" w:rsidRDefault="00890D7C" w:rsidP="000004C3">
      <w:pPr>
        <w:rPr>
          <w:rFonts w:asciiTheme="minorHAnsi" w:hAnsiTheme="minorHAnsi" w:cstheme="minorHAnsi"/>
        </w:rPr>
      </w:pPr>
      <w:r w:rsidRPr="00890D7C">
        <w:rPr>
          <w:noProof/>
        </w:rPr>
        <w:drawing>
          <wp:inline distT="0" distB="0" distL="0" distR="0">
            <wp:extent cx="9320530" cy="3490962"/>
            <wp:effectExtent l="19050" t="19050" r="13970" b="146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20530" cy="3490962"/>
                    </a:xfrm>
                    <a:prstGeom prst="rect">
                      <a:avLst/>
                    </a:prstGeom>
                    <a:noFill/>
                    <a:ln w="3175">
                      <a:solidFill>
                        <a:schemeClr val="bg1">
                          <a:lumMod val="65000"/>
                        </a:schemeClr>
                      </a:solidFill>
                    </a:ln>
                  </pic:spPr>
                </pic:pic>
              </a:graphicData>
            </a:graphic>
          </wp:inline>
        </w:drawing>
      </w:r>
      <w:r w:rsidR="00502A6A" w:rsidRPr="0030058B">
        <w:rPr>
          <w:rFonts w:asciiTheme="minorHAnsi" w:hAnsiTheme="minorHAnsi" w:cstheme="minorHAnsi"/>
        </w:rPr>
        <w:t xml:space="preserve"> </w:t>
      </w:r>
    </w:p>
    <w:p w:rsidR="00DE3829" w:rsidRPr="0030058B" w:rsidRDefault="009F1C07" w:rsidP="00502A6A">
      <w:pPr>
        <w:spacing w:after="160" w:line="259" w:lineRule="auto"/>
        <w:rPr>
          <w:rFonts w:asciiTheme="minorHAnsi" w:hAnsiTheme="minorHAnsi" w:cstheme="minorHAnsi"/>
          <w:sz w:val="20"/>
          <w:szCs w:val="20"/>
        </w:rPr>
      </w:pPr>
      <w:r>
        <w:rPr>
          <w:rFonts w:asciiTheme="minorHAnsi" w:hAnsiTheme="minorHAnsi" w:cstheme="minorHAnsi"/>
          <w:sz w:val="20"/>
          <w:szCs w:val="20"/>
        </w:rPr>
        <w:t>Figura 3:</w:t>
      </w:r>
      <w:r w:rsidR="00DE3829" w:rsidRPr="0030058B">
        <w:rPr>
          <w:rFonts w:asciiTheme="minorHAnsi" w:hAnsiTheme="minorHAnsi" w:cstheme="minorHAnsi"/>
          <w:sz w:val="20"/>
          <w:szCs w:val="20"/>
        </w:rPr>
        <w:t xml:space="preserve"> Macrofluxograma de Contratação do AC</w:t>
      </w:r>
    </w:p>
    <w:p w:rsidR="00DE3829" w:rsidRPr="0030058B" w:rsidRDefault="00DE3829" w:rsidP="00502A6A">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9F1C07" w:rsidP="000004C3">
      <w:pPr>
        <w:spacing w:after="160"/>
        <w:rPr>
          <w:rFonts w:asciiTheme="minorHAnsi" w:hAnsiTheme="minorHAnsi" w:cstheme="minorHAnsi"/>
          <w:sz w:val="20"/>
          <w:szCs w:val="20"/>
        </w:rPr>
      </w:pPr>
      <w:r w:rsidRPr="009F1C07">
        <w:rPr>
          <w:noProof/>
        </w:rPr>
        <w:drawing>
          <wp:inline distT="0" distB="0" distL="0" distR="0">
            <wp:extent cx="9320530" cy="2652711"/>
            <wp:effectExtent l="19050" t="19050" r="13970" b="146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20530" cy="2652711"/>
                    </a:xfrm>
                    <a:prstGeom prst="rect">
                      <a:avLst/>
                    </a:prstGeom>
                    <a:noFill/>
                    <a:ln>
                      <a:solidFill>
                        <a:schemeClr val="bg1">
                          <a:lumMod val="65000"/>
                        </a:schemeClr>
                      </a:solidFill>
                    </a:ln>
                  </pic:spPr>
                </pic:pic>
              </a:graphicData>
            </a:graphic>
          </wp:inline>
        </w:drawing>
      </w:r>
      <w:r>
        <w:rPr>
          <w:rFonts w:asciiTheme="minorHAnsi" w:hAnsiTheme="minorHAnsi" w:cstheme="minorHAnsi"/>
          <w:sz w:val="20"/>
          <w:szCs w:val="20"/>
        </w:rPr>
        <w:t>Figura 4:</w:t>
      </w:r>
      <w:r w:rsidR="00DE3829" w:rsidRPr="0030058B">
        <w:rPr>
          <w:rFonts w:asciiTheme="minorHAnsi" w:hAnsiTheme="minorHAnsi" w:cstheme="minorHAnsi"/>
          <w:sz w:val="20"/>
          <w:szCs w:val="20"/>
        </w:rPr>
        <w:t xml:space="preserve"> Macrofluxograma de Gestão dos Contratos para Comercialização</w:t>
      </w:r>
      <w:r w:rsidR="00502A6A" w:rsidRPr="0030058B">
        <w:rPr>
          <w:rFonts w:asciiTheme="minorHAnsi" w:hAnsiTheme="minorHAnsi" w:cstheme="minorHAnsi"/>
          <w:sz w:val="20"/>
          <w:szCs w:val="20"/>
        </w:rPr>
        <w:t xml:space="preserve"> </w:t>
      </w:r>
    </w:p>
    <w:p w:rsidR="00F43A06" w:rsidRPr="0030058B" w:rsidRDefault="00F43A06" w:rsidP="00DE3829">
      <w:pPr>
        <w:spacing w:after="160" w:line="259" w:lineRule="auto"/>
        <w:rPr>
          <w:rFonts w:asciiTheme="minorHAnsi" w:hAnsiTheme="minorHAnsi" w:cstheme="minorHAnsi"/>
          <w:sz w:val="20"/>
          <w:szCs w:val="20"/>
        </w:rPr>
      </w:pPr>
      <w:r w:rsidRPr="0030058B">
        <w:rPr>
          <w:rFonts w:asciiTheme="minorHAnsi" w:hAnsiTheme="minorHAnsi" w:cstheme="minorHAnsi"/>
          <w:sz w:val="20"/>
          <w:szCs w:val="20"/>
        </w:rPr>
        <w:br w:type="page"/>
      </w:r>
    </w:p>
    <w:p w:rsidR="00DE3829" w:rsidRPr="0030058B" w:rsidRDefault="00DE3829" w:rsidP="00DE3829">
      <w:pPr>
        <w:spacing w:after="160" w:line="259" w:lineRule="auto"/>
        <w:rPr>
          <w:rFonts w:asciiTheme="minorHAnsi" w:eastAsia="Times New Roman" w:hAnsiTheme="minorHAnsi" w:cstheme="minorHAnsi"/>
          <w:color w:val="000000" w:themeColor="text1"/>
          <w:sz w:val="20"/>
          <w:szCs w:val="20"/>
        </w:rPr>
      </w:pPr>
    </w:p>
    <w:p w:rsidR="00502A6A" w:rsidRPr="0030058B" w:rsidRDefault="00502A6A" w:rsidP="007254CF">
      <w:pPr>
        <w:pStyle w:val="Style1"/>
        <w:numPr>
          <w:ilvl w:val="0"/>
          <w:numId w:val="0"/>
        </w:numPr>
      </w:pPr>
    </w:p>
    <w:p w:rsidR="00502A6A" w:rsidRPr="0030058B" w:rsidRDefault="00502A6A" w:rsidP="007254CF">
      <w:pPr>
        <w:pStyle w:val="Style1"/>
        <w:numPr>
          <w:ilvl w:val="0"/>
          <w:numId w:val="0"/>
        </w:numPr>
      </w:pPr>
    </w:p>
    <w:p w:rsidR="00484A4B" w:rsidRPr="000004C3" w:rsidRDefault="000004C3" w:rsidP="000004C3">
      <w:pPr>
        <w:pStyle w:val="Style2"/>
        <w:numPr>
          <w:ilvl w:val="1"/>
          <w:numId w:val="2"/>
        </w:numPr>
        <w:rPr>
          <w:b/>
          <w:sz w:val="22"/>
        </w:rPr>
      </w:pPr>
      <w:bookmarkStart w:id="19" w:name="_Toc492825319"/>
      <w:r w:rsidRPr="000004C3">
        <w:rPr>
          <w:b/>
          <w:sz w:val="22"/>
        </w:rPr>
        <w:t xml:space="preserve">Anexo II - </w:t>
      </w:r>
      <w:r w:rsidR="00484A4B" w:rsidRPr="000004C3">
        <w:rPr>
          <w:b/>
          <w:sz w:val="22"/>
        </w:rPr>
        <w:t>Matriz de Papéis e Responsabilidades</w:t>
      </w:r>
      <w:bookmarkEnd w:id="19"/>
    </w:p>
    <w:p w:rsidR="00DE3829" w:rsidRPr="0030058B" w:rsidRDefault="00DE3829" w:rsidP="000004C3">
      <w:pPr>
        <w:rPr>
          <w:rFonts w:asciiTheme="minorHAnsi" w:hAnsiTheme="minorHAnsi" w:cstheme="minorHAnsi"/>
        </w:rPr>
      </w:pPr>
      <w:r w:rsidRPr="0030058B">
        <w:rPr>
          <w:rFonts w:asciiTheme="minorHAnsi" w:hAnsiTheme="minorHAnsi" w:cstheme="minorHAnsi"/>
          <w:noProof/>
        </w:rPr>
        <w:drawing>
          <wp:inline distT="0" distB="0" distL="0" distR="0" wp14:anchorId="0D9069E2" wp14:editId="783AC110">
            <wp:extent cx="5839888" cy="3495675"/>
            <wp:effectExtent l="19050" t="19050" r="2794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89166" cy="3525172"/>
                    </a:xfrm>
                    <a:prstGeom prst="rect">
                      <a:avLst/>
                    </a:prstGeom>
                    <a:noFill/>
                    <a:ln w="3175">
                      <a:solidFill>
                        <a:schemeClr val="bg1">
                          <a:lumMod val="65000"/>
                        </a:schemeClr>
                      </a:solidFill>
                    </a:ln>
                  </pic:spPr>
                </pic:pic>
              </a:graphicData>
            </a:graphic>
          </wp:inline>
        </w:drawing>
      </w:r>
    </w:p>
    <w:p w:rsidR="00DE3829" w:rsidRPr="0030058B" w:rsidRDefault="009F1C07" w:rsidP="00DE3829">
      <w:pPr>
        <w:spacing w:after="160" w:line="259" w:lineRule="auto"/>
        <w:rPr>
          <w:rFonts w:asciiTheme="minorHAnsi" w:hAnsiTheme="minorHAnsi" w:cstheme="minorHAnsi"/>
          <w:sz w:val="20"/>
          <w:szCs w:val="20"/>
        </w:rPr>
      </w:pPr>
      <w:r>
        <w:rPr>
          <w:rFonts w:asciiTheme="minorHAnsi" w:hAnsiTheme="minorHAnsi" w:cstheme="minorHAnsi"/>
          <w:sz w:val="20"/>
          <w:szCs w:val="20"/>
        </w:rPr>
        <w:t>Figura 5:</w:t>
      </w:r>
      <w:r w:rsidR="00DE3829" w:rsidRPr="0030058B">
        <w:rPr>
          <w:rFonts w:asciiTheme="minorHAnsi" w:hAnsiTheme="minorHAnsi" w:cstheme="minorHAnsi"/>
          <w:sz w:val="20"/>
          <w:szCs w:val="20"/>
        </w:rPr>
        <w:t xml:space="preserve"> Matriz de Papéis e Responsabilidades do Processo de Contratação do AC</w:t>
      </w: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0004C3">
      <w:pPr>
        <w:rPr>
          <w:rFonts w:asciiTheme="minorHAnsi" w:hAnsiTheme="minorHAnsi" w:cstheme="minorHAnsi"/>
          <w:bCs/>
        </w:rPr>
      </w:pPr>
      <w:r w:rsidRPr="0030058B">
        <w:rPr>
          <w:rFonts w:asciiTheme="minorHAnsi" w:hAnsiTheme="minorHAnsi" w:cstheme="minorHAnsi"/>
          <w:noProof/>
        </w:rPr>
        <w:drawing>
          <wp:inline distT="0" distB="0" distL="0" distR="0" wp14:anchorId="6C6029D1" wp14:editId="40313255">
            <wp:extent cx="2724150" cy="3428192"/>
            <wp:effectExtent l="19050" t="19050" r="19050" b="203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53145" cy="3464681"/>
                    </a:xfrm>
                    <a:prstGeom prst="rect">
                      <a:avLst/>
                    </a:prstGeom>
                    <a:noFill/>
                    <a:ln w="3175">
                      <a:solidFill>
                        <a:schemeClr val="bg1">
                          <a:lumMod val="65000"/>
                        </a:schemeClr>
                      </a:solidFill>
                    </a:ln>
                  </pic:spPr>
                </pic:pic>
              </a:graphicData>
            </a:graphic>
          </wp:inline>
        </w:drawing>
      </w:r>
    </w:p>
    <w:p w:rsidR="009F1C07" w:rsidRDefault="009F1C07" w:rsidP="00DE3829">
      <w:pPr>
        <w:spacing w:line="360" w:lineRule="auto"/>
        <w:rPr>
          <w:rFonts w:asciiTheme="minorHAnsi" w:hAnsiTheme="minorHAnsi" w:cstheme="minorHAnsi"/>
          <w:sz w:val="20"/>
          <w:szCs w:val="20"/>
        </w:rPr>
      </w:pPr>
      <w:r>
        <w:rPr>
          <w:rFonts w:asciiTheme="minorHAnsi" w:hAnsiTheme="minorHAnsi" w:cstheme="minorHAnsi"/>
          <w:sz w:val="20"/>
          <w:szCs w:val="20"/>
        </w:rPr>
        <w:t>Figura 6:</w:t>
      </w:r>
      <w:r w:rsidR="00DE3829" w:rsidRPr="0030058B">
        <w:rPr>
          <w:rFonts w:asciiTheme="minorHAnsi" w:hAnsiTheme="minorHAnsi" w:cstheme="minorHAnsi"/>
          <w:sz w:val="20"/>
          <w:szCs w:val="20"/>
        </w:rPr>
        <w:t xml:space="preserve"> Matriz de Papéis e Responsabilidades do Processo de Gestão dos Contratos para Comercialização</w:t>
      </w:r>
    </w:p>
    <w:p w:rsidR="00DE3829" w:rsidRPr="0030058B" w:rsidRDefault="00DE3829" w:rsidP="00DE3829">
      <w:pPr>
        <w:spacing w:line="360" w:lineRule="auto"/>
        <w:rPr>
          <w:rFonts w:asciiTheme="minorHAnsi" w:hAnsiTheme="minorHAnsi" w:cstheme="minorHAnsi"/>
          <w:bCs/>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DE3829" w:rsidRPr="0030058B" w:rsidRDefault="00DE3829" w:rsidP="00DE3829">
      <w:pPr>
        <w:spacing w:after="160" w:line="259" w:lineRule="auto"/>
        <w:rPr>
          <w:rFonts w:asciiTheme="minorHAnsi" w:hAnsiTheme="minorHAnsi" w:cstheme="minorHAnsi"/>
          <w:sz w:val="20"/>
          <w:szCs w:val="20"/>
        </w:rPr>
      </w:pPr>
    </w:p>
    <w:p w:rsidR="00502A6A" w:rsidRPr="0030058B" w:rsidRDefault="00502A6A" w:rsidP="007254CF">
      <w:pPr>
        <w:pStyle w:val="Style1"/>
        <w:numPr>
          <w:ilvl w:val="0"/>
          <w:numId w:val="0"/>
        </w:numPr>
      </w:pPr>
    </w:p>
    <w:p w:rsidR="00484A4B" w:rsidRPr="000004C3" w:rsidRDefault="000004C3" w:rsidP="000004C3">
      <w:pPr>
        <w:pStyle w:val="Style2"/>
        <w:numPr>
          <w:ilvl w:val="1"/>
          <w:numId w:val="2"/>
        </w:numPr>
        <w:rPr>
          <w:b/>
          <w:sz w:val="22"/>
        </w:rPr>
      </w:pPr>
      <w:bookmarkStart w:id="20" w:name="_Toc492825320"/>
      <w:r w:rsidRPr="000004C3">
        <w:rPr>
          <w:b/>
          <w:sz w:val="22"/>
        </w:rPr>
        <w:t xml:space="preserve">Anexo III - </w:t>
      </w:r>
      <w:r w:rsidR="00484A4B" w:rsidRPr="000004C3">
        <w:rPr>
          <w:b/>
          <w:sz w:val="22"/>
        </w:rPr>
        <w:t>Indicadores de Performance do Processo</w:t>
      </w:r>
      <w:bookmarkEnd w:id="20"/>
    </w:p>
    <w:p w:rsidR="00DE3829" w:rsidRPr="0030058B" w:rsidRDefault="009F1C07" w:rsidP="00DE3829">
      <w:pPr>
        <w:spacing w:line="360" w:lineRule="auto"/>
        <w:rPr>
          <w:rFonts w:asciiTheme="minorHAnsi" w:hAnsiTheme="minorHAnsi" w:cstheme="minorHAnsi"/>
          <w:sz w:val="20"/>
          <w:szCs w:val="20"/>
        </w:rPr>
      </w:pPr>
      <w:r>
        <w:rPr>
          <w:rFonts w:asciiTheme="minorHAnsi" w:hAnsiTheme="minorHAnsi" w:cstheme="minorHAnsi"/>
          <w:sz w:val="20"/>
          <w:szCs w:val="20"/>
        </w:rPr>
        <w:t>Figura 7:</w:t>
      </w:r>
      <w:r w:rsidR="00DE3829" w:rsidRPr="0030058B">
        <w:rPr>
          <w:rFonts w:asciiTheme="minorHAnsi" w:hAnsiTheme="minorHAnsi" w:cstheme="minorHAnsi"/>
          <w:sz w:val="20"/>
          <w:szCs w:val="20"/>
        </w:rPr>
        <w:t xml:space="preserve"> Indicadores de Performance do Processo</w:t>
      </w:r>
    </w:p>
    <w:p w:rsidR="00DE3829" w:rsidRPr="0030058B" w:rsidRDefault="00DE3829" w:rsidP="00DE3829">
      <w:pPr>
        <w:spacing w:line="360" w:lineRule="auto"/>
        <w:rPr>
          <w:rFonts w:asciiTheme="minorHAnsi" w:hAnsiTheme="minorHAnsi" w:cstheme="minorHAnsi"/>
        </w:rPr>
      </w:pPr>
    </w:p>
    <w:p w:rsidR="00F43A06" w:rsidRPr="0030058B" w:rsidRDefault="00F43A06" w:rsidP="00502A6A">
      <w:pPr>
        <w:spacing w:after="160" w:line="259" w:lineRule="auto"/>
        <w:rPr>
          <w:rFonts w:asciiTheme="minorHAnsi" w:eastAsia="Times New Roman" w:hAnsiTheme="minorHAnsi" w:cstheme="minorHAnsi"/>
          <w:color w:val="000000" w:themeColor="text1"/>
        </w:rPr>
      </w:pPr>
      <w:r w:rsidRPr="0030058B">
        <w:rPr>
          <w:rFonts w:asciiTheme="minorHAnsi" w:hAnsiTheme="minorHAnsi" w:cstheme="minorHAnsi"/>
        </w:rPr>
        <w:br w:type="page"/>
      </w:r>
    </w:p>
    <w:p w:rsidR="00502A6A" w:rsidRPr="0030058B" w:rsidRDefault="00502A6A" w:rsidP="007254CF">
      <w:pPr>
        <w:pStyle w:val="Style1"/>
        <w:numPr>
          <w:ilvl w:val="0"/>
          <w:numId w:val="0"/>
        </w:numPr>
      </w:pPr>
    </w:p>
    <w:p w:rsidR="00502A6A" w:rsidRPr="0030058B" w:rsidRDefault="00502A6A" w:rsidP="007254CF">
      <w:pPr>
        <w:pStyle w:val="Style1"/>
        <w:numPr>
          <w:ilvl w:val="0"/>
          <w:numId w:val="0"/>
        </w:numPr>
      </w:pPr>
    </w:p>
    <w:p w:rsidR="00502A6A" w:rsidRPr="0030058B" w:rsidRDefault="00502A6A" w:rsidP="007254CF">
      <w:pPr>
        <w:pStyle w:val="Style1"/>
        <w:numPr>
          <w:ilvl w:val="0"/>
          <w:numId w:val="0"/>
        </w:numPr>
      </w:pPr>
    </w:p>
    <w:p w:rsidR="00484A4B" w:rsidRPr="000004C3" w:rsidRDefault="000004C3" w:rsidP="000004C3">
      <w:pPr>
        <w:pStyle w:val="Style2"/>
        <w:numPr>
          <w:ilvl w:val="1"/>
          <w:numId w:val="2"/>
        </w:numPr>
        <w:rPr>
          <w:b/>
        </w:rPr>
      </w:pPr>
      <w:bookmarkStart w:id="21" w:name="_Toc492825321"/>
      <w:r w:rsidRPr="000004C3">
        <w:rPr>
          <w:b/>
          <w:sz w:val="22"/>
        </w:rPr>
        <w:t xml:space="preserve">Anexo IV - </w:t>
      </w:r>
      <w:r w:rsidR="00484A4B" w:rsidRPr="000004C3">
        <w:rPr>
          <w:b/>
          <w:sz w:val="22"/>
        </w:rPr>
        <w:t>Mapa de Interface dos Processos</w:t>
      </w:r>
      <w:bookmarkEnd w:id="21"/>
    </w:p>
    <w:p w:rsidR="00532F71" w:rsidRDefault="00532F71" w:rsidP="00532F71">
      <w:pPr>
        <w:spacing w:line="360" w:lineRule="auto"/>
        <w:rPr>
          <w:rFonts w:ascii="Univers for KPMG" w:hAnsi="Univers for KPMG"/>
        </w:rPr>
      </w:pPr>
      <w:r>
        <w:rPr>
          <w:rFonts w:ascii="Univers for KPMG" w:hAnsi="Univers for KPMG"/>
          <w:noProof/>
        </w:rPr>
        <w:drawing>
          <wp:inline distT="0" distB="0" distL="0" distR="0" wp14:anchorId="1FED01CE" wp14:editId="626B0F4E">
            <wp:extent cx="6840543" cy="3095625"/>
            <wp:effectExtent l="19050" t="19050" r="1778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905802" cy="3125157"/>
                    </a:xfrm>
                    <a:prstGeom prst="rect">
                      <a:avLst/>
                    </a:prstGeom>
                    <a:noFill/>
                    <a:ln w="3175">
                      <a:solidFill>
                        <a:schemeClr val="bg1">
                          <a:lumMod val="65000"/>
                        </a:schemeClr>
                      </a:solidFill>
                    </a:ln>
                  </pic:spPr>
                </pic:pic>
              </a:graphicData>
            </a:graphic>
          </wp:inline>
        </w:drawing>
      </w:r>
    </w:p>
    <w:p w:rsidR="00532F71" w:rsidRPr="002B5BA3" w:rsidRDefault="00532F71" w:rsidP="00532F71">
      <w:pPr>
        <w:pStyle w:val="Body"/>
        <w:spacing w:before="0" w:line="240" w:lineRule="auto"/>
        <w:rPr>
          <w:rFonts w:eastAsia="Times New Roman" w:cstheme="minorHAnsi"/>
          <w:sz w:val="20"/>
          <w:szCs w:val="20"/>
          <w:lang w:eastAsia="pt-BR"/>
        </w:rPr>
      </w:pPr>
      <w:r w:rsidRPr="002B5BA3">
        <w:rPr>
          <w:rFonts w:cstheme="minorHAnsi"/>
          <w:sz w:val="20"/>
          <w:szCs w:val="20"/>
        </w:rPr>
        <w:t xml:space="preserve">Figura </w:t>
      </w:r>
      <w:r>
        <w:rPr>
          <w:rFonts w:cstheme="minorHAnsi"/>
          <w:sz w:val="20"/>
          <w:szCs w:val="20"/>
        </w:rPr>
        <w:t>8</w:t>
      </w:r>
      <w:r w:rsidRPr="002B5BA3">
        <w:rPr>
          <w:rFonts w:cstheme="minorHAnsi"/>
          <w:sz w:val="20"/>
          <w:szCs w:val="20"/>
        </w:rPr>
        <w:t>: Mapa de Interface dos Processos</w:t>
      </w:r>
    </w:p>
    <w:p w:rsidR="009730D3" w:rsidRPr="0030058B" w:rsidRDefault="009730D3" w:rsidP="00532F71">
      <w:pPr>
        <w:pStyle w:val="Body"/>
        <w:spacing w:line="360" w:lineRule="auto"/>
        <w:rPr>
          <w:rFonts w:cstheme="minorHAnsi"/>
          <w:sz w:val="20"/>
          <w:szCs w:val="20"/>
        </w:rPr>
      </w:pPr>
    </w:p>
    <w:p w:rsidR="00DE3829" w:rsidRPr="0030058B" w:rsidRDefault="00DE3829" w:rsidP="00042F73">
      <w:pPr>
        <w:pStyle w:val="Body"/>
        <w:spacing w:line="360" w:lineRule="auto"/>
        <w:rPr>
          <w:rFonts w:eastAsia="Times New Roman" w:cstheme="minorHAnsi"/>
          <w:sz w:val="20"/>
          <w:szCs w:val="20"/>
          <w:lang w:eastAsia="pt-BR"/>
        </w:rPr>
      </w:pPr>
    </w:p>
    <w:p w:rsidR="00DE3829" w:rsidRPr="0030058B" w:rsidRDefault="00DE3829" w:rsidP="00042F73">
      <w:pPr>
        <w:pStyle w:val="Body"/>
        <w:spacing w:line="360" w:lineRule="auto"/>
        <w:rPr>
          <w:rFonts w:eastAsia="Times New Roman" w:cstheme="minorHAnsi"/>
          <w:sz w:val="20"/>
          <w:szCs w:val="20"/>
          <w:lang w:eastAsia="pt-BR"/>
        </w:rPr>
      </w:pPr>
    </w:p>
    <w:p w:rsidR="00DE3829" w:rsidRPr="0030058B" w:rsidRDefault="00DE3829" w:rsidP="00042F73">
      <w:pPr>
        <w:pStyle w:val="Body"/>
        <w:spacing w:line="360" w:lineRule="auto"/>
        <w:rPr>
          <w:rFonts w:eastAsia="Times New Roman" w:cstheme="minorHAnsi"/>
          <w:sz w:val="20"/>
          <w:szCs w:val="20"/>
          <w:lang w:eastAsia="pt-BR"/>
        </w:rPr>
      </w:pPr>
    </w:p>
    <w:p w:rsidR="00DE3829" w:rsidRPr="000004C3" w:rsidRDefault="000004C3" w:rsidP="000004C3">
      <w:pPr>
        <w:pStyle w:val="Style2"/>
        <w:numPr>
          <w:ilvl w:val="1"/>
          <w:numId w:val="2"/>
        </w:numPr>
        <w:rPr>
          <w:b/>
          <w:sz w:val="22"/>
        </w:rPr>
      </w:pPr>
      <w:bookmarkStart w:id="22" w:name="_Toc492825322"/>
      <w:r w:rsidRPr="000004C3">
        <w:rPr>
          <w:b/>
          <w:sz w:val="22"/>
        </w:rPr>
        <w:t xml:space="preserve">Anexo V - </w:t>
      </w:r>
      <w:r w:rsidR="00DE3829" w:rsidRPr="000004C3">
        <w:rPr>
          <w:b/>
          <w:sz w:val="22"/>
        </w:rPr>
        <w:t>Cronograma Base de Comercialização</w:t>
      </w:r>
      <w:bookmarkEnd w:id="22"/>
    </w:p>
    <w:tbl>
      <w:tblPr>
        <w:tblStyle w:val="Tabelacomgrade"/>
        <w:tblW w:w="0" w:type="auto"/>
        <w:tblInd w:w="51" w:type="dxa"/>
        <w:tblLook w:val="04A0" w:firstRow="1" w:lastRow="0" w:firstColumn="1" w:lastColumn="0" w:noHBand="0" w:noVBand="1"/>
      </w:tblPr>
      <w:tblGrid>
        <w:gridCol w:w="3510"/>
        <w:gridCol w:w="2549"/>
        <w:gridCol w:w="3656"/>
      </w:tblGrid>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b/>
              </w:rPr>
            </w:pPr>
            <w:r w:rsidRPr="0030058B">
              <w:rPr>
                <w:rFonts w:asciiTheme="minorHAnsi" w:hAnsiTheme="minorHAnsi" w:cstheme="minorHAnsi"/>
                <w:b/>
              </w:rPr>
              <w:t>Evento</w:t>
            </w:r>
          </w:p>
        </w:tc>
        <w:tc>
          <w:tcPr>
            <w:tcW w:w="2549" w:type="dxa"/>
          </w:tcPr>
          <w:p w:rsidR="00DE3829" w:rsidRPr="0030058B" w:rsidRDefault="00DE3829" w:rsidP="00DE3829">
            <w:pPr>
              <w:tabs>
                <w:tab w:val="left" w:pos="709"/>
              </w:tabs>
              <w:jc w:val="center"/>
              <w:rPr>
                <w:rFonts w:asciiTheme="minorHAnsi" w:hAnsiTheme="minorHAnsi" w:cstheme="minorHAnsi"/>
                <w:b/>
              </w:rPr>
            </w:pPr>
            <w:r w:rsidRPr="0030058B">
              <w:rPr>
                <w:rFonts w:asciiTheme="minorHAnsi" w:hAnsiTheme="minorHAnsi" w:cstheme="minorHAnsi"/>
                <w:b/>
              </w:rPr>
              <w:t>Responsável</w:t>
            </w:r>
          </w:p>
        </w:tc>
        <w:tc>
          <w:tcPr>
            <w:tcW w:w="3656" w:type="dxa"/>
          </w:tcPr>
          <w:p w:rsidR="00DE3829" w:rsidRPr="0030058B" w:rsidRDefault="00DE3829" w:rsidP="00DE3829">
            <w:pPr>
              <w:tabs>
                <w:tab w:val="left" w:pos="709"/>
              </w:tabs>
              <w:jc w:val="center"/>
              <w:rPr>
                <w:rFonts w:asciiTheme="minorHAnsi" w:hAnsiTheme="minorHAnsi" w:cstheme="minorHAnsi"/>
                <w:b/>
              </w:rPr>
            </w:pPr>
            <w:r w:rsidRPr="0030058B">
              <w:rPr>
                <w:rFonts w:asciiTheme="minorHAnsi" w:hAnsiTheme="minorHAnsi" w:cstheme="minorHAnsi"/>
                <w:b/>
              </w:rPr>
              <w:t>Prazo</w:t>
            </w:r>
          </w:p>
        </w:tc>
      </w:tr>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Programação de embarque</w:t>
            </w:r>
          </w:p>
        </w:tc>
        <w:tc>
          <w:tcPr>
            <w:tcW w:w="2549" w:type="dxa"/>
          </w:tcPr>
          <w:p w:rsidR="00DE3829" w:rsidRPr="0030058B" w:rsidRDefault="00F068CB" w:rsidP="00DE3829">
            <w:pPr>
              <w:tabs>
                <w:tab w:val="left" w:pos="709"/>
              </w:tabs>
              <w:jc w:val="center"/>
              <w:rPr>
                <w:rFonts w:asciiTheme="minorHAnsi" w:hAnsiTheme="minorHAnsi" w:cstheme="minorHAnsi"/>
              </w:rPr>
            </w:pPr>
            <w:r>
              <w:rPr>
                <w:rFonts w:asciiTheme="minorHAnsi" w:hAnsiTheme="minorHAnsi" w:cstheme="minorHAnsi"/>
              </w:rPr>
              <w:t>Pré-Sal Petróleo</w:t>
            </w:r>
            <w:r w:rsidR="00DE3829" w:rsidRPr="0030058B">
              <w:rPr>
                <w:rFonts w:asciiTheme="minorHAnsi" w:hAnsiTheme="minorHAnsi" w:cstheme="minorHAnsi"/>
              </w:rPr>
              <w:t xml:space="preserve"> + AC (*)</w:t>
            </w:r>
          </w:p>
        </w:tc>
        <w:tc>
          <w:tcPr>
            <w:tcW w:w="3656"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M-2</w:t>
            </w:r>
          </w:p>
        </w:tc>
      </w:tr>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Comercialização</w:t>
            </w:r>
          </w:p>
        </w:tc>
        <w:tc>
          <w:tcPr>
            <w:tcW w:w="2549"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AC</w:t>
            </w:r>
          </w:p>
        </w:tc>
        <w:tc>
          <w:tcPr>
            <w:tcW w:w="3656"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M-2</w:t>
            </w:r>
          </w:p>
        </w:tc>
      </w:tr>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Carregamento</w:t>
            </w:r>
          </w:p>
        </w:tc>
        <w:tc>
          <w:tcPr>
            <w:tcW w:w="2549"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AC</w:t>
            </w:r>
          </w:p>
        </w:tc>
        <w:tc>
          <w:tcPr>
            <w:tcW w:w="3656"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M</w:t>
            </w:r>
          </w:p>
        </w:tc>
      </w:tr>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Transferência de propriedade e posse</w:t>
            </w:r>
          </w:p>
        </w:tc>
        <w:tc>
          <w:tcPr>
            <w:tcW w:w="2549" w:type="dxa"/>
          </w:tcPr>
          <w:p w:rsidR="00DE3829" w:rsidRPr="0030058B" w:rsidRDefault="00F068CB" w:rsidP="00DE3829">
            <w:pPr>
              <w:tabs>
                <w:tab w:val="left" w:pos="709"/>
              </w:tabs>
              <w:jc w:val="center"/>
              <w:rPr>
                <w:rFonts w:asciiTheme="minorHAnsi" w:hAnsiTheme="minorHAnsi" w:cstheme="minorHAnsi"/>
              </w:rPr>
            </w:pPr>
            <w:r>
              <w:rPr>
                <w:rFonts w:asciiTheme="minorHAnsi" w:hAnsiTheme="minorHAnsi" w:cstheme="minorHAnsi"/>
              </w:rPr>
              <w:t>Pré-Sal Petróleo</w:t>
            </w:r>
          </w:p>
        </w:tc>
        <w:tc>
          <w:tcPr>
            <w:tcW w:w="3656"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Data do carregamento</w:t>
            </w:r>
          </w:p>
        </w:tc>
      </w:tr>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 xml:space="preserve">Aceite da remuneração, dos custos e tributos incidentes sobre petróleo da União </w:t>
            </w:r>
          </w:p>
        </w:tc>
        <w:tc>
          <w:tcPr>
            <w:tcW w:w="2549" w:type="dxa"/>
          </w:tcPr>
          <w:p w:rsidR="00DE3829" w:rsidRPr="0030058B" w:rsidRDefault="00F068CB" w:rsidP="00DE3829">
            <w:pPr>
              <w:tabs>
                <w:tab w:val="left" w:pos="709"/>
              </w:tabs>
              <w:jc w:val="center"/>
              <w:rPr>
                <w:rFonts w:asciiTheme="minorHAnsi" w:hAnsiTheme="minorHAnsi" w:cstheme="minorHAnsi"/>
              </w:rPr>
            </w:pPr>
            <w:r>
              <w:rPr>
                <w:rFonts w:asciiTheme="minorHAnsi" w:hAnsiTheme="minorHAnsi" w:cstheme="minorHAnsi"/>
              </w:rPr>
              <w:t>Pré-Sal Petróleo</w:t>
            </w:r>
          </w:p>
        </w:tc>
        <w:tc>
          <w:tcPr>
            <w:tcW w:w="3656"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M + 1</w:t>
            </w:r>
          </w:p>
        </w:tc>
      </w:tr>
      <w:tr w:rsidR="00DE3829" w:rsidRPr="0030058B" w:rsidTr="00DE3829">
        <w:tc>
          <w:tcPr>
            <w:tcW w:w="3510"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Depósito na Conta Única do Tesouro Nacional</w:t>
            </w:r>
          </w:p>
        </w:tc>
        <w:tc>
          <w:tcPr>
            <w:tcW w:w="2549"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AC</w:t>
            </w:r>
          </w:p>
        </w:tc>
        <w:tc>
          <w:tcPr>
            <w:tcW w:w="3656" w:type="dxa"/>
          </w:tcPr>
          <w:p w:rsidR="00DE3829" w:rsidRPr="0030058B" w:rsidRDefault="00DE3829" w:rsidP="00DE3829">
            <w:pPr>
              <w:tabs>
                <w:tab w:val="left" w:pos="709"/>
              </w:tabs>
              <w:jc w:val="center"/>
              <w:rPr>
                <w:rFonts w:asciiTheme="minorHAnsi" w:hAnsiTheme="minorHAnsi" w:cstheme="minorHAnsi"/>
              </w:rPr>
            </w:pPr>
            <w:r w:rsidRPr="0030058B">
              <w:rPr>
                <w:rFonts w:asciiTheme="minorHAnsi" w:hAnsiTheme="minorHAnsi" w:cstheme="minorHAnsi"/>
              </w:rPr>
              <w:t>M + 1</w:t>
            </w:r>
          </w:p>
        </w:tc>
      </w:tr>
    </w:tbl>
    <w:p w:rsidR="00DE3829" w:rsidRPr="0030058B" w:rsidRDefault="00DE3829" w:rsidP="00DE3829">
      <w:pPr>
        <w:tabs>
          <w:tab w:val="left" w:pos="709"/>
        </w:tabs>
        <w:spacing w:line="360" w:lineRule="auto"/>
        <w:rPr>
          <w:rFonts w:asciiTheme="minorHAnsi" w:hAnsiTheme="minorHAnsi" w:cstheme="minorHAnsi"/>
        </w:rPr>
      </w:pPr>
    </w:p>
    <w:p w:rsidR="00DE3829" w:rsidRPr="0030058B" w:rsidRDefault="00DE3829" w:rsidP="00DE3829">
      <w:pPr>
        <w:tabs>
          <w:tab w:val="left" w:pos="709"/>
        </w:tabs>
        <w:spacing w:line="360" w:lineRule="auto"/>
        <w:rPr>
          <w:rFonts w:asciiTheme="minorHAnsi" w:hAnsiTheme="minorHAnsi" w:cstheme="minorHAnsi"/>
        </w:rPr>
      </w:pPr>
      <w:r w:rsidRPr="0030058B">
        <w:rPr>
          <w:rFonts w:asciiTheme="minorHAnsi" w:hAnsiTheme="minorHAnsi" w:cstheme="minorHAnsi"/>
        </w:rPr>
        <w:t>Em que:</w:t>
      </w:r>
    </w:p>
    <w:p w:rsidR="00DE3829" w:rsidRPr="0030058B" w:rsidRDefault="00DE3829" w:rsidP="00DE3829">
      <w:pPr>
        <w:tabs>
          <w:tab w:val="left" w:pos="709"/>
        </w:tabs>
        <w:spacing w:line="360" w:lineRule="auto"/>
        <w:rPr>
          <w:rFonts w:asciiTheme="minorHAnsi" w:hAnsiTheme="minorHAnsi" w:cstheme="minorHAnsi"/>
        </w:rPr>
      </w:pPr>
      <w:r w:rsidRPr="0030058B">
        <w:rPr>
          <w:rFonts w:asciiTheme="minorHAnsi" w:hAnsiTheme="minorHAnsi" w:cstheme="minorHAnsi"/>
        </w:rPr>
        <w:t>M = mês de carregamento</w:t>
      </w:r>
    </w:p>
    <w:p w:rsidR="00DE3829" w:rsidRPr="0030058B" w:rsidRDefault="00DE3829" w:rsidP="00DE3829">
      <w:pPr>
        <w:pStyle w:val="Body"/>
        <w:tabs>
          <w:tab w:val="left" w:pos="709"/>
        </w:tabs>
        <w:spacing w:line="360" w:lineRule="auto"/>
        <w:ind w:firstLine="360"/>
        <w:rPr>
          <w:rFonts w:eastAsia="Times New Roman" w:cstheme="minorHAnsi"/>
          <w:sz w:val="24"/>
          <w:szCs w:val="24"/>
          <w:lang w:eastAsia="pt-BR"/>
        </w:rPr>
      </w:pPr>
      <w:r w:rsidRPr="0030058B">
        <w:rPr>
          <w:rFonts w:cstheme="minorHAnsi"/>
          <w:sz w:val="24"/>
          <w:szCs w:val="24"/>
        </w:rPr>
        <w:t xml:space="preserve">(*) A atuação do AC na programação será de sugestão, caso não tenha acesso direto ao LA, ou de programação direta junto ao Operador, caso a </w:t>
      </w:r>
      <w:r w:rsidR="00F068CB">
        <w:rPr>
          <w:rFonts w:cstheme="minorHAnsi"/>
          <w:sz w:val="24"/>
          <w:szCs w:val="24"/>
        </w:rPr>
        <w:t>Pré-Sal Petróleo</w:t>
      </w:r>
      <w:r w:rsidRPr="0030058B">
        <w:rPr>
          <w:rFonts w:cstheme="minorHAnsi"/>
          <w:sz w:val="24"/>
          <w:szCs w:val="24"/>
        </w:rPr>
        <w:t xml:space="preserve"> obtenha o referido acesso.</w:t>
      </w:r>
      <w:bookmarkStart w:id="23" w:name="_GoBack"/>
      <w:bookmarkEnd w:id="23"/>
    </w:p>
    <w:sectPr w:rsidR="00DE3829" w:rsidRPr="0030058B" w:rsidSect="00042F73">
      <w:footerReference w:type="default" r:id="rId23"/>
      <w:type w:val="continuous"/>
      <w:pgSz w:w="16838" w:h="11906" w:orient="landscape"/>
      <w:pgMar w:top="1440" w:right="1080" w:bottom="1440" w:left="1080"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385" w:rsidRDefault="002C7385" w:rsidP="008D2702">
      <w:r>
        <w:separator/>
      </w:r>
    </w:p>
  </w:endnote>
  <w:endnote w:type="continuationSeparator" w:id="0">
    <w:p w:rsidR="002C7385" w:rsidRDefault="002C7385" w:rsidP="008D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Univers for KPMG">
    <w:altName w:val="Trebuchet MS"/>
    <w:charset w:val="00"/>
    <w:family w:val="swiss"/>
    <w:pitch w:val="variable"/>
    <w:sig w:usb0="00000001" w:usb1="5000204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E0D" w:rsidRDefault="00506E0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4C3" w:rsidRPr="006E4A1B" w:rsidRDefault="000004C3">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4F1D56">
      <w:rPr>
        <w:rFonts w:asciiTheme="minorHAnsi" w:hAnsiTheme="minorHAnsi"/>
        <w:noProof/>
        <w:sz w:val="20"/>
      </w:rPr>
      <w:t>19</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4F1D56">
      <w:rPr>
        <w:rFonts w:asciiTheme="minorHAnsi" w:hAnsiTheme="minorHAnsi"/>
        <w:noProof/>
        <w:sz w:val="20"/>
      </w:rPr>
      <w:t>27</w:t>
    </w:r>
    <w:r w:rsidRPr="006E4A1B">
      <w:rPr>
        <w:rFonts w:asciiTheme="minorHAnsi" w:hAnsiTheme="minorHAnsi"/>
        <w:sz w:val="20"/>
      </w:rPr>
      <w:fldChar w:fldCharType="end"/>
    </w:r>
  </w:p>
  <w:p w:rsidR="000004C3" w:rsidRDefault="000004C3">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E0D" w:rsidRDefault="00506E0D">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8637" w:type="dxa"/>
      <w:jc w:val="center"/>
      <w:tblLook w:val="04A0" w:firstRow="1" w:lastRow="0" w:firstColumn="1" w:lastColumn="0" w:noHBand="0" w:noVBand="1"/>
    </w:tblPr>
    <w:tblGrid>
      <w:gridCol w:w="2879"/>
      <w:gridCol w:w="2879"/>
      <w:gridCol w:w="2879"/>
    </w:tblGrid>
    <w:tr w:rsidR="00506E0D" w:rsidTr="006E53DC">
      <w:trPr>
        <w:jc w:val="center"/>
      </w:trPr>
      <w:tc>
        <w:tcPr>
          <w:tcW w:w="2879" w:type="dxa"/>
        </w:tcPr>
        <w:p w:rsidR="00506E0D" w:rsidRDefault="00506E0D" w:rsidP="00506E0D">
          <w:pPr>
            <w:pStyle w:val="Rodap"/>
            <w:rPr>
              <w:rFonts w:asciiTheme="minorHAnsi" w:hAnsiTheme="minorHAnsi"/>
              <w:b/>
              <w:sz w:val="20"/>
            </w:rPr>
          </w:pPr>
          <w:r w:rsidRPr="00C7010C">
            <w:rPr>
              <w:rFonts w:asciiTheme="minorHAnsi" w:hAnsiTheme="minorHAnsi"/>
              <w:b/>
              <w:sz w:val="20"/>
            </w:rPr>
            <w:t>Elaborado por:</w:t>
          </w:r>
        </w:p>
        <w:p w:rsidR="00506E0D" w:rsidRDefault="00506E0D" w:rsidP="00506E0D">
          <w:pPr>
            <w:pStyle w:val="Rodap"/>
            <w:rPr>
              <w:rFonts w:asciiTheme="minorHAnsi" w:hAnsiTheme="minorHAnsi"/>
              <w:b/>
              <w:sz w:val="20"/>
            </w:rPr>
          </w:pPr>
        </w:p>
        <w:p w:rsidR="00506E0D" w:rsidRPr="0089163D" w:rsidRDefault="00506E0D" w:rsidP="00506E0D">
          <w:pPr>
            <w:pStyle w:val="Rodap"/>
            <w:rPr>
              <w:rFonts w:asciiTheme="minorHAnsi" w:hAnsiTheme="minorHAnsi"/>
              <w:sz w:val="20"/>
            </w:rPr>
          </w:pPr>
          <w:r>
            <w:rPr>
              <w:rFonts w:asciiTheme="minorHAnsi" w:hAnsiTheme="minorHAnsi"/>
              <w:sz w:val="20"/>
            </w:rPr>
            <w:t>Nilo Carvalho</w:t>
          </w:r>
        </w:p>
        <w:p w:rsidR="00506E0D" w:rsidRDefault="00506E0D" w:rsidP="00506E0D">
          <w:pPr>
            <w:pStyle w:val="Rodap"/>
            <w:rPr>
              <w:rFonts w:asciiTheme="minorHAnsi" w:hAnsiTheme="minorHAnsi"/>
              <w:sz w:val="20"/>
            </w:rPr>
          </w:pPr>
          <w:r w:rsidRPr="0089163D">
            <w:rPr>
              <w:rFonts w:asciiTheme="minorHAnsi" w:hAnsiTheme="minorHAnsi"/>
              <w:sz w:val="20"/>
            </w:rPr>
            <w:t xml:space="preserve">Coordenador </w:t>
          </w:r>
          <w:r>
            <w:rPr>
              <w:rFonts w:asciiTheme="minorHAnsi" w:hAnsiTheme="minorHAnsi"/>
              <w:sz w:val="20"/>
            </w:rPr>
            <w:t>(Comercialização</w:t>
          </w:r>
          <w:r w:rsidRPr="0089163D">
            <w:rPr>
              <w:rFonts w:asciiTheme="minorHAnsi" w:hAnsiTheme="minorHAnsi"/>
              <w:sz w:val="20"/>
            </w:rPr>
            <w:t>)</w:t>
          </w:r>
        </w:p>
      </w:tc>
      <w:tc>
        <w:tcPr>
          <w:tcW w:w="2879" w:type="dxa"/>
        </w:tcPr>
        <w:p w:rsidR="00506E0D" w:rsidRDefault="00506E0D" w:rsidP="00506E0D">
          <w:pPr>
            <w:pStyle w:val="Rodap"/>
            <w:rPr>
              <w:rFonts w:asciiTheme="minorHAnsi" w:hAnsiTheme="minorHAnsi"/>
              <w:b/>
              <w:sz w:val="20"/>
            </w:rPr>
          </w:pPr>
          <w:r>
            <w:rPr>
              <w:rFonts w:asciiTheme="minorHAnsi" w:hAnsiTheme="minorHAnsi"/>
              <w:b/>
              <w:sz w:val="20"/>
            </w:rPr>
            <w:t>Revisado</w:t>
          </w:r>
          <w:r w:rsidRPr="00C7010C">
            <w:rPr>
              <w:rFonts w:asciiTheme="minorHAnsi" w:hAnsiTheme="minorHAnsi"/>
              <w:b/>
              <w:sz w:val="20"/>
            </w:rPr>
            <w:t xml:space="preserve"> por:</w:t>
          </w:r>
        </w:p>
        <w:p w:rsidR="00506E0D" w:rsidRDefault="00506E0D" w:rsidP="00506E0D">
          <w:pPr>
            <w:pStyle w:val="Rodap"/>
            <w:rPr>
              <w:rFonts w:asciiTheme="minorHAnsi" w:hAnsiTheme="minorHAnsi"/>
              <w:b/>
              <w:sz w:val="20"/>
            </w:rPr>
          </w:pPr>
        </w:p>
        <w:p w:rsidR="00506E0D" w:rsidRDefault="00506E0D" w:rsidP="00506E0D">
          <w:pPr>
            <w:pStyle w:val="Rodap"/>
            <w:rPr>
              <w:rFonts w:asciiTheme="minorHAnsi" w:hAnsiTheme="minorHAnsi"/>
              <w:sz w:val="20"/>
            </w:rPr>
          </w:pPr>
          <w:r w:rsidRPr="007B6B4C">
            <w:rPr>
              <w:rFonts w:asciiTheme="minorHAnsi" w:hAnsiTheme="minorHAnsi"/>
              <w:sz w:val="20"/>
            </w:rPr>
            <w:t>Edgard Manta</w:t>
          </w:r>
        </w:p>
        <w:p w:rsidR="00506E0D" w:rsidRDefault="00506E0D" w:rsidP="00506E0D">
          <w:pPr>
            <w:pStyle w:val="Rodap"/>
            <w:rPr>
              <w:rFonts w:asciiTheme="minorHAnsi" w:hAnsiTheme="minorHAnsi"/>
              <w:sz w:val="20"/>
            </w:rPr>
          </w:pPr>
          <w:proofErr w:type="spellStart"/>
          <w:r>
            <w:rPr>
              <w:rFonts w:asciiTheme="minorHAnsi" w:hAnsiTheme="minorHAnsi"/>
              <w:sz w:val="20"/>
            </w:rPr>
            <w:t>Superint</w:t>
          </w:r>
          <w:proofErr w:type="spellEnd"/>
          <w:r>
            <w:rPr>
              <w:rFonts w:asciiTheme="minorHAnsi" w:hAnsiTheme="minorHAnsi"/>
              <w:sz w:val="20"/>
            </w:rPr>
            <w:t xml:space="preserve">. </w:t>
          </w:r>
          <w:proofErr w:type="gramStart"/>
          <w:r>
            <w:rPr>
              <w:rFonts w:asciiTheme="minorHAnsi" w:hAnsiTheme="minorHAnsi"/>
              <w:sz w:val="20"/>
            </w:rPr>
            <w:t>de</w:t>
          </w:r>
          <w:proofErr w:type="gramEnd"/>
          <w:r>
            <w:rPr>
              <w:rFonts w:asciiTheme="minorHAnsi" w:hAnsiTheme="minorHAnsi"/>
              <w:sz w:val="20"/>
            </w:rPr>
            <w:t xml:space="preserve"> Comercialização</w:t>
          </w:r>
        </w:p>
      </w:tc>
      <w:tc>
        <w:tcPr>
          <w:tcW w:w="2879" w:type="dxa"/>
        </w:tcPr>
        <w:p w:rsidR="00506E0D" w:rsidRDefault="00506E0D" w:rsidP="00506E0D">
          <w:pPr>
            <w:pStyle w:val="Rodap"/>
            <w:rPr>
              <w:rFonts w:asciiTheme="minorHAnsi" w:hAnsiTheme="minorHAnsi"/>
              <w:sz w:val="20"/>
            </w:rPr>
          </w:pPr>
          <w:r>
            <w:rPr>
              <w:rFonts w:asciiTheme="minorHAnsi" w:hAnsiTheme="minorHAnsi"/>
              <w:b/>
              <w:sz w:val="20"/>
            </w:rPr>
            <w:t>Aprovado</w:t>
          </w:r>
          <w:r w:rsidRPr="00C7010C">
            <w:rPr>
              <w:rFonts w:asciiTheme="minorHAnsi" w:hAnsiTheme="minorHAnsi"/>
              <w:b/>
              <w:sz w:val="20"/>
            </w:rPr>
            <w:t xml:space="preserve"> por:</w:t>
          </w:r>
          <w:r>
            <w:rPr>
              <w:rFonts w:asciiTheme="minorHAnsi" w:hAnsiTheme="minorHAnsi"/>
              <w:sz w:val="20"/>
            </w:rPr>
            <w:t xml:space="preserve"> </w:t>
          </w:r>
        </w:p>
        <w:p w:rsidR="00506E0D" w:rsidRDefault="00506E0D" w:rsidP="00506E0D">
          <w:pPr>
            <w:pStyle w:val="Rodap"/>
            <w:rPr>
              <w:rFonts w:asciiTheme="minorHAnsi" w:hAnsiTheme="minorHAnsi"/>
              <w:b/>
              <w:sz w:val="20"/>
            </w:rPr>
          </w:pPr>
        </w:p>
        <w:p w:rsidR="00506E0D" w:rsidRPr="007B6B4C" w:rsidRDefault="00506E0D" w:rsidP="00506E0D">
          <w:pPr>
            <w:pStyle w:val="Rodap"/>
            <w:rPr>
              <w:rFonts w:asciiTheme="minorHAnsi" w:hAnsiTheme="minorHAnsi"/>
              <w:sz w:val="20"/>
            </w:rPr>
          </w:pPr>
          <w:r w:rsidRPr="007B6B4C">
            <w:rPr>
              <w:rFonts w:asciiTheme="minorHAnsi" w:hAnsiTheme="minorHAnsi"/>
              <w:sz w:val="20"/>
            </w:rPr>
            <w:t>Paulo Carvalho</w:t>
          </w:r>
        </w:p>
        <w:p w:rsidR="00506E0D" w:rsidRPr="00C7010C" w:rsidRDefault="00506E0D" w:rsidP="00506E0D">
          <w:pPr>
            <w:pStyle w:val="Rodap"/>
            <w:rPr>
              <w:rFonts w:asciiTheme="minorHAnsi" w:hAnsiTheme="minorHAnsi"/>
              <w:b/>
              <w:sz w:val="20"/>
            </w:rPr>
          </w:pPr>
          <w:r w:rsidRPr="0089163D">
            <w:rPr>
              <w:rFonts w:asciiTheme="minorHAnsi" w:hAnsiTheme="minorHAnsi"/>
              <w:sz w:val="20"/>
            </w:rPr>
            <w:t>Diretor Técnico e de Fiscalização</w:t>
          </w:r>
        </w:p>
      </w:tc>
    </w:tr>
  </w:tbl>
  <w:p w:rsidR="000004C3" w:rsidRPr="006E4A1B" w:rsidRDefault="000004C3" w:rsidP="000004C3">
    <w:pPr>
      <w:pStyle w:val="Rodap"/>
      <w:spacing w:before="120" w:after="120"/>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4F1D56">
      <w:rPr>
        <w:rFonts w:asciiTheme="minorHAnsi" w:hAnsiTheme="minorHAnsi"/>
        <w:noProof/>
        <w:sz w:val="20"/>
      </w:rPr>
      <w:t>20</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4F1D56">
      <w:rPr>
        <w:rFonts w:asciiTheme="minorHAnsi" w:hAnsiTheme="minorHAnsi"/>
        <w:noProof/>
        <w:sz w:val="20"/>
      </w:rPr>
      <w:t>27</w:t>
    </w:r>
    <w:r w:rsidRPr="006E4A1B">
      <w:rPr>
        <w:rFonts w:asciiTheme="minorHAnsi" w:hAnsiTheme="minorHAnsi"/>
        <w:sz w:val="20"/>
      </w:rPr>
      <w:fldChar w:fldCharType="end"/>
    </w:r>
  </w:p>
  <w:p w:rsidR="000004C3" w:rsidRDefault="000004C3">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4C3" w:rsidRPr="006E4A1B" w:rsidRDefault="000004C3">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4F1D56">
      <w:rPr>
        <w:rFonts w:asciiTheme="minorHAnsi" w:hAnsiTheme="minorHAnsi"/>
        <w:noProof/>
        <w:sz w:val="20"/>
      </w:rPr>
      <w:t>27</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4F1D56">
      <w:rPr>
        <w:rFonts w:asciiTheme="minorHAnsi" w:hAnsiTheme="minorHAnsi"/>
        <w:noProof/>
        <w:sz w:val="20"/>
      </w:rPr>
      <w:t>27</w:t>
    </w:r>
    <w:r w:rsidRPr="006E4A1B">
      <w:rPr>
        <w:rFonts w:asciiTheme="minorHAnsi" w:hAnsiTheme="minorHAnsi"/>
        <w:sz w:val="20"/>
      </w:rPr>
      <w:fldChar w:fldCharType="end"/>
    </w:r>
  </w:p>
  <w:p w:rsidR="000004C3" w:rsidRDefault="000004C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385" w:rsidRDefault="002C7385" w:rsidP="008D2702">
      <w:r>
        <w:separator/>
      </w:r>
    </w:p>
  </w:footnote>
  <w:footnote w:type="continuationSeparator" w:id="0">
    <w:p w:rsidR="002C7385" w:rsidRDefault="002C7385" w:rsidP="008D2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E0D" w:rsidRDefault="00506E0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Spec="center" w:tblpY="5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4876"/>
      <w:gridCol w:w="1139"/>
      <w:gridCol w:w="1738"/>
    </w:tblGrid>
    <w:tr w:rsidR="000004C3" w:rsidRPr="008D2702" w:rsidTr="0030058B">
      <w:trPr>
        <w:trHeight w:hRule="exact" w:val="1134"/>
      </w:trPr>
      <w:tc>
        <w:tcPr>
          <w:tcW w:w="2479" w:type="dxa"/>
          <w:vMerge w:val="restart"/>
          <w:shd w:val="clear" w:color="auto" w:fill="auto"/>
          <w:tcMar>
            <w:left w:w="0" w:type="dxa"/>
            <w:right w:w="0" w:type="dxa"/>
          </w:tcMar>
        </w:tcPr>
        <w:p w:rsidR="000004C3" w:rsidRPr="008D2702" w:rsidRDefault="000004C3" w:rsidP="00F34D6C">
          <w:pPr>
            <w:spacing w:line="278" w:lineRule="exact"/>
            <w:jc w:val="center"/>
            <w:rPr>
              <w:rFonts w:asciiTheme="majorHAnsi" w:hAnsiTheme="majorHAnsi"/>
            </w:rPr>
          </w:pPr>
          <w:r>
            <w:rPr>
              <w:noProof/>
            </w:rPr>
            <w:drawing>
              <wp:anchor distT="0" distB="0" distL="114300" distR="114300" simplePos="0" relativeHeight="251659264" behindDoc="0" locked="0" layoutInCell="1" allowOverlap="1" wp14:anchorId="54669AB6" wp14:editId="7F4A2D3A">
                <wp:simplePos x="0" y="0"/>
                <wp:positionH relativeFrom="column">
                  <wp:posOffset>340360</wp:posOffset>
                </wp:positionH>
                <wp:positionV relativeFrom="paragraph">
                  <wp:posOffset>9525</wp:posOffset>
                </wp:positionV>
                <wp:extent cx="793750" cy="1123315"/>
                <wp:effectExtent l="0" t="0" r="6350" b="635"/>
                <wp:wrapSquare wrapText="bothSides"/>
                <wp:docPr id="15"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SA_vertical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750" cy="1123315"/>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vMerge w:val="restart"/>
          <w:shd w:val="clear" w:color="auto" w:fill="auto"/>
          <w:tcMar>
            <w:left w:w="0" w:type="dxa"/>
            <w:right w:w="0" w:type="dxa"/>
          </w:tcMar>
          <w:vAlign w:val="center"/>
        </w:tcPr>
        <w:p w:rsidR="000004C3" w:rsidRPr="00567994" w:rsidRDefault="000004C3" w:rsidP="00922BB2">
          <w:pPr>
            <w:jc w:val="center"/>
            <w:rPr>
              <w:rFonts w:asciiTheme="majorHAnsi" w:hAnsiTheme="majorHAnsi" w:cs="Arial"/>
              <w:sz w:val="20"/>
              <w:szCs w:val="20"/>
            </w:rPr>
          </w:pPr>
          <w:r w:rsidRPr="009129D7">
            <w:rPr>
              <w:rFonts w:asciiTheme="majorHAnsi" w:hAnsiTheme="majorHAnsi" w:cs="Arial"/>
              <w:noProof/>
              <w:color w:val="000000"/>
              <w:w w:val="95"/>
              <w:sz w:val="22"/>
              <w:szCs w:val="20"/>
            </w:rPr>
            <w:t>PROCEDIMENTO DE GESTÃO DOS CONTRATOS PARA COMERCIALIZAÇÃO DE PETRÓLEO</w:t>
          </w:r>
        </w:p>
      </w:tc>
      <w:tc>
        <w:tcPr>
          <w:tcW w:w="2877" w:type="dxa"/>
          <w:gridSpan w:val="2"/>
          <w:shd w:val="clear" w:color="auto" w:fill="auto"/>
          <w:tcMar>
            <w:left w:w="0" w:type="dxa"/>
            <w:right w:w="0" w:type="dxa"/>
          </w:tcMar>
        </w:tcPr>
        <w:p w:rsidR="000004C3" w:rsidRPr="00A37EDD" w:rsidRDefault="000004C3" w:rsidP="00F34D6C">
          <w:pPr>
            <w:spacing w:line="429" w:lineRule="exact"/>
            <w:ind w:left="170"/>
            <w:jc w:val="center"/>
            <w:rPr>
              <w:rFonts w:asciiTheme="majorHAnsi" w:hAnsiTheme="majorHAnsi" w:cs="Arial"/>
              <w:sz w:val="22"/>
              <w:szCs w:val="20"/>
            </w:rPr>
          </w:pPr>
          <w:r>
            <w:rPr>
              <w:rFonts w:asciiTheme="majorHAnsi" w:hAnsiTheme="majorHAnsi" w:cs="Arial"/>
              <w:sz w:val="22"/>
              <w:szCs w:val="20"/>
            </w:rPr>
            <w:t>PROCEDIMENTO</w:t>
          </w:r>
          <w:r w:rsidRPr="00A37EDD">
            <w:rPr>
              <w:rFonts w:asciiTheme="majorHAnsi" w:hAnsiTheme="majorHAnsi" w:cs="Arial"/>
              <w:sz w:val="22"/>
              <w:szCs w:val="20"/>
            </w:rPr>
            <w:t xml:space="preserve"> Nº</w:t>
          </w:r>
        </w:p>
        <w:p w:rsidR="000004C3" w:rsidRPr="00A37EDD" w:rsidRDefault="000004C3" w:rsidP="00F34D6C">
          <w:pPr>
            <w:spacing w:line="429" w:lineRule="exact"/>
            <w:ind w:left="170"/>
            <w:jc w:val="center"/>
            <w:rPr>
              <w:rFonts w:asciiTheme="majorHAnsi" w:hAnsiTheme="majorHAnsi" w:cs="Arial"/>
              <w:sz w:val="22"/>
              <w:szCs w:val="20"/>
            </w:rPr>
          </w:pPr>
          <w:r w:rsidRPr="009129D7">
            <w:rPr>
              <w:rFonts w:asciiTheme="majorHAnsi" w:hAnsiTheme="majorHAnsi" w:cs="Arial"/>
              <w:sz w:val="22"/>
              <w:szCs w:val="20"/>
            </w:rPr>
            <w:t>PP.DTF.001/2017</w:t>
          </w:r>
        </w:p>
      </w:tc>
    </w:tr>
    <w:tr w:rsidR="000004C3" w:rsidRPr="008D2702" w:rsidTr="0030058B">
      <w:trPr>
        <w:trHeight w:hRule="exact" w:val="349"/>
      </w:trPr>
      <w:tc>
        <w:tcPr>
          <w:tcW w:w="2479" w:type="dxa"/>
          <w:vMerge/>
          <w:shd w:val="clear" w:color="auto" w:fill="auto"/>
          <w:tcMar>
            <w:left w:w="0" w:type="dxa"/>
            <w:right w:w="0" w:type="dxa"/>
          </w:tcMar>
        </w:tcPr>
        <w:p w:rsidR="000004C3" w:rsidRPr="008D2702" w:rsidRDefault="000004C3" w:rsidP="00F34D6C">
          <w:pPr>
            <w:spacing w:line="492" w:lineRule="exact"/>
            <w:jc w:val="center"/>
            <w:rPr>
              <w:rFonts w:asciiTheme="majorHAnsi" w:hAnsiTheme="majorHAnsi"/>
            </w:rPr>
          </w:pPr>
        </w:p>
      </w:tc>
      <w:tc>
        <w:tcPr>
          <w:tcW w:w="4876" w:type="dxa"/>
          <w:vMerge/>
          <w:shd w:val="clear" w:color="auto" w:fill="auto"/>
          <w:tcMar>
            <w:left w:w="0" w:type="dxa"/>
            <w:right w:w="0" w:type="dxa"/>
          </w:tcMar>
        </w:tcPr>
        <w:p w:rsidR="000004C3" w:rsidRPr="008D2702" w:rsidRDefault="000004C3" w:rsidP="00F34D6C">
          <w:pPr>
            <w:spacing w:line="492" w:lineRule="exact"/>
            <w:jc w:val="center"/>
            <w:rPr>
              <w:rFonts w:asciiTheme="majorHAnsi" w:hAnsiTheme="majorHAnsi"/>
            </w:rPr>
          </w:pPr>
        </w:p>
      </w:tc>
      <w:tc>
        <w:tcPr>
          <w:tcW w:w="1139" w:type="dxa"/>
          <w:shd w:val="clear" w:color="auto" w:fill="auto"/>
          <w:tcMar>
            <w:left w:w="0" w:type="dxa"/>
            <w:right w:w="0" w:type="dxa"/>
          </w:tcMar>
        </w:tcPr>
        <w:p w:rsidR="000004C3" w:rsidRPr="00A37EDD" w:rsidRDefault="000004C3" w:rsidP="00F34D6C">
          <w:pPr>
            <w:spacing w:line="301" w:lineRule="exact"/>
            <w:ind w:left="108"/>
            <w:jc w:val="center"/>
            <w:rPr>
              <w:rFonts w:asciiTheme="majorHAnsi" w:hAnsiTheme="majorHAnsi" w:cs="Arial"/>
              <w:sz w:val="22"/>
              <w:szCs w:val="20"/>
            </w:rPr>
          </w:pPr>
          <w:r w:rsidRPr="00A37EDD">
            <w:rPr>
              <w:rFonts w:asciiTheme="majorHAnsi" w:hAnsiTheme="majorHAnsi" w:cs="Arial"/>
              <w:noProof/>
              <w:color w:val="000000"/>
              <w:w w:val="95"/>
              <w:sz w:val="22"/>
              <w:szCs w:val="20"/>
            </w:rPr>
            <w:t>VERSÃO</w:t>
          </w:r>
        </w:p>
      </w:tc>
      <w:tc>
        <w:tcPr>
          <w:tcW w:w="1738" w:type="dxa"/>
          <w:shd w:val="clear" w:color="auto" w:fill="auto"/>
          <w:tcMar>
            <w:left w:w="0" w:type="dxa"/>
            <w:right w:w="0" w:type="dxa"/>
          </w:tcMar>
        </w:tcPr>
        <w:p w:rsidR="000004C3" w:rsidRPr="00A37EDD" w:rsidRDefault="000004C3" w:rsidP="00F34D6C">
          <w:pPr>
            <w:spacing w:line="301" w:lineRule="exact"/>
            <w:ind w:left="109"/>
            <w:jc w:val="center"/>
            <w:rPr>
              <w:rFonts w:asciiTheme="majorHAnsi" w:hAnsiTheme="majorHAnsi" w:cs="Arial"/>
              <w:sz w:val="22"/>
              <w:szCs w:val="20"/>
            </w:rPr>
          </w:pPr>
          <w:r w:rsidRPr="00A37EDD">
            <w:rPr>
              <w:rFonts w:asciiTheme="majorHAnsi" w:hAnsiTheme="majorHAnsi" w:cs="Arial"/>
              <w:noProof/>
              <w:color w:val="000000"/>
              <w:spacing w:val="-1"/>
              <w:w w:val="95"/>
              <w:sz w:val="22"/>
              <w:szCs w:val="20"/>
            </w:rPr>
            <w:t>APROVADO EM</w:t>
          </w:r>
        </w:p>
      </w:tc>
    </w:tr>
    <w:tr w:rsidR="000004C3" w:rsidRPr="008D2702" w:rsidTr="0030058B">
      <w:trPr>
        <w:trHeight w:hRule="exact" w:val="364"/>
      </w:trPr>
      <w:tc>
        <w:tcPr>
          <w:tcW w:w="2479" w:type="dxa"/>
          <w:vMerge/>
          <w:shd w:val="clear" w:color="auto" w:fill="auto"/>
          <w:tcMar>
            <w:left w:w="0" w:type="dxa"/>
            <w:right w:w="0" w:type="dxa"/>
          </w:tcMar>
        </w:tcPr>
        <w:p w:rsidR="000004C3" w:rsidRPr="008D2702" w:rsidRDefault="000004C3" w:rsidP="00F34D6C">
          <w:pPr>
            <w:spacing w:line="301" w:lineRule="exact"/>
            <w:jc w:val="center"/>
            <w:rPr>
              <w:rFonts w:asciiTheme="majorHAnsi" w:hAnsiTheme="majorHAnsi"/>
            </w:rPr>
          </w:pPr>
        </w:p>
      </w:tc>
      <w:tc>
        <w:tcPr>
          <w:tcW w:w="4876" w:type="dxa"/>
          <w:vMerge/>
          <w:shd w:val="clear" w:color="auto" w:fill="auto"/>
          <w:tcMar>
            <w:left w:w="0" w:type="dxa"/>
            <w:right w:w="0" w:type="dxa"/>
          </w:tcMar>
        </w:tcPr>
        <w:p w:rsidR="000004C3" w:rsidRPr="008D2702" w:rsidRDefault="000004C3" w:rsidP="00F34D6C">
          <w:pPr>
            <w:spacing w:line="301" w:lineRule="exact"/>
            <w:jc w:val="center"/>
            <w:rPr>
              <w:rFonts w:asciiTheme="majorHAnsi" w:hAnsiTheme="majorHAnsi"/>
            </w:rPr>
          </w:pPr>
        </w:p>
      </w:tc>
      <w:tc>
        <w:tcPr>
          <w:tcW w:w="1139" w:type="dxa"/>
          <w:shd w:val="clear" w:color="auto" w:fill="auto"/>
          <w:tcMar>
            <w:left w:w="0" w:type="dxa"/>
            <w:right w:w="0" w:type="dxa"/>
          </w:tcMar>
        </w:tcPr>
        <w:p w:rsidR="000004C3" w:rsidRPr="00A37EDD" w:rsidRDefault="000004C3" w:rsidP="00F34D6C">
          <w:pPr>
            <w:spacing w:line="318" w:lineRule="exact"/>
            <w:jc w:val="center"/>
            <w:rPr>
              <w:rFonts w:asciiTheme="majorHAnsi" w:hAnsiTheme="majorHAnsi" w:cs="Arial"/>
              <w:sz w:val="22"/>
              <w:szCs w:val="20"/>
            </w:rPr>
          </w:pPr>
          <w:r w:rsidRPr="00A37EDD">
            <w:rPr>
              <w:rFonts w:asciiTheme="majorHAnsi" w:hAnsiTheme="majorHAnsi" w:cs="Arial"/>
              <w:noProof/>
              <w:color w:val="000000"/>
              <w:w w:val="95"/>
              <w:sz w:val="22"/>
              <w:szCs w:val="20"/>
            </w:rPr>
            <w:t>00</w:t>
          </w:r>
        </w:p>
      </w:tc>
      <w:tc>
        <w:tcPr>
          <w:tcW w:w="1738" w:type="dxa"/>
          <w:shd w:val="clear" w:color="auto" w:fill="auto"/>
          <w:tcMar>
            <w:left w:w="0" w:type="dxa"/>
            <w:right w:w="0" w:type="dxa"/>
          </w:tcMar>
        </w:tcPr>
        <w:p w:rsidR="000004C3" w:rsidRPr="00A37EDD" w:rsidRDefault="000004C3" w:rsidP="00F34D6C">
          <w:pPr>
            <w:spacing w:line="318" w:lineRule="exact"/>
            <w:jc w:val="center"/>
            <w:rPr>
              <w:rFonts w:asciiTheme="majorHAnsi" w:hAnsiTheme="majorHAnsi" w:cs="Arial"/>
              <w:sz w:val="22"/>
              <w:szCs w:val="20"/>
            </w:rPr>
          </w:pPr>
          <w:r>
            <w:rPr>
              <w:rFonts w:asciiTheme="majorHAnsi" w:hAnsiTheme="majorHAnsi" w:cs="Arial"/>
              <w:sz w:val="22"/>
              <w:szCs w:val="20"/>
            </w:rPr>
            <w:t>##</w:t>
          </w:r>
          <w:r w:rsidRPr="00A37EDD">
            <w:rPr>
              <w:rFonts w:asciiTheme="majorHAnsi" w:hAnsiTheme="majorHAnsi" w:cs="Arial"/>
              <w:sz w:val="22"/>
              <w:szCs w:val="20"/>
            </w:rPr>
            <w:t>/</w:t>
          </w:r>
          <w:r>
            <w:rPr>
              <w:rFonts w:asciiTheme="majorHAnsi" w:hAnsiTheme="majorHAnsi" w:cs="Arial"/>
              <w:sz w:val="22"/>
              <w:szCs w:val="20"/>
            </w:rPr>
            <w:t>##/</w:t>
          </w:r>
          <w:r w:rsidRPr="00A37EDD">
            <w:rPr>
              <w:rFonts w:asciiTheme="majorHAnsi" w:hAnsiTheme="majorHAnsi" w:cs="Arial"/>
              <w:sz w:val="22"/>
              <w:szCs w:val="20"/>
            </w:rPr>
            <w:t>20</w:t>
          </w:r>
          <w:r>
            <w:rPr>
              <w:rFonts w:asciiTheme="majorHAnsi" w:hAnsiTheme="majorHAnsi" w:cs="Arial"/>
              <w:sz w:val="22"/>
              <w:szCs w:val="20"/>
            </w:rPr>
            <w:t>##</w:t>
          </w:r>
        </w:p>
      </w:tc>
    </w:tr>
  </w:tbl>
  <w:p w:rsidR="000004C3" w:rsidRDefault="000004C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E0D" w:rsidRDefault="00506E0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549E"/>
    <w:multiLevelType w:val="multilevel"/>
    <w:tmpl w:val="7E669EB6"/>
    <w:lvl w:ilvl="0">
      <w:start w:val="1"/>
      <w:numFmt w:val="decimal"/>
      <w:pStyle w:val="Style1"/>
      <w:lvlText w:val="%1."/>
      <w:lvlJc w:val="left"/>
      <w:pPr>
        <w:ind w:left="638" w:hanging="360"/>
      </w:pPr>
      <w:rPr>
        <w:rFonts w:hint="default"/>
      </w:rPr>
    </w:lvl>
    <w:lvl w:ilvl="1">
      <w:start w:val="1"/>
      <w:numFmt w:val="decimal"/>
      <w:lvlText w:val="%1.%2."/>
      <w:lvlJc w:val="left"/>
      <w:pPr>
        <w:ind w:left="1070" w:hanging="432"/>
      </w:pPr>
      <w:rPr>
        <w:i w:val="0"/>
      </w:rPr>
    </w:lvl>
    <w:lvl w:ilvl="2">
      <w:start w:val="1"/>
      <w:numFmt w:val="decimal"/>
      <w:lvlText w:val="%1.%2.%3."/>
      <w:lvlJc w:val="left"/>
      <w:pPr>
        <w:ind w:left="1502" w:hanging="504"/>
      </w:pPr>
      <w:rPr>
        <w:b/>
        <w:color w:val="000000" w:themeColor="text1"/>
      </w:rPr>
    </w:lvl>
    <w:lvl w:ilvl="3">
      <w:start w:val="1"/>
      <w:numFmt w:val="decimal"/>
      <w:lvlText w:val="%1.%2.%3.%4."/>
      <w:lvlJc w:val="left"/>
      <w:pPr>
        <w:ind w:left="2006" w:hanging="648"/>
      </w:pPr>
    </w:lvl>
    <w:lvl w:ilvl="4">
      <w:start w:val="1"/>
      <w:numFmt w:val="decimal"/>
      <w:lvlText w:val="%1.%2.%3.%4.%5."/>
      <w:lvlJc w:val="left"/>
      <w:pPr>
        <w:ind w:left="2510" w:hanging="792"/>
      </w:pPr>
    </w:lvl>
    <w:lvl w:ilvl="5">
      <w:start w:val="1"/>
      <w:numFmt w:val="decimal"/>
      <w:lvlText w:val="%1.%2.%3.%4.%5.%6."/>
      <w:lvlJc w:val="left"/>
      <w:pPr>
        <w:ind w:left="3014" w:hanging="936"/>
      </w:pPr>
    </w:lvl>
    <w:lvl w:ilvl="6">
      <w:start w:val="1"/>
      <w:numFmt w:val="decimal"/>
      <w:lvlText w:val="%1.%2.%3.%4.%5.%6.%7."/>
      <w:lvlJc w:val="left"/>
      <w:pPr>
        <w:ind w:left="3518" w:hanging="1080"/>
      </w:pPr>
    </w:lvl>
    <w:lvl w:ilvl="7">
      <w:start w:val="1"/>
      <w:numFmt w:val="decimal"/>
      <w:lvlText w:val="%1.%2.%3.%4.%5.%6.%7.%8."/>
      <w:lvlJc w:val="left"/>
      <w:pPr>
        <w:ind w:left="4022" w:hanging="1224"/>
      </w:pPr>
    </w:lvl>
    <w:lvl w:ilvl="8">
      <w:start w:val="1"/>
      <w:numFmt w:val="decimal"/>
      <w:lvlText w:val="%1.%2.%3.%4.%5.%6.%7.%8.%9."/>
      <w:lvlJc w:val="left"/>
      <w:pPr>
        <w:ind w:left="4598" w:hanging="1440"/>
      </w:pPr>
    </w:lvl>
  </w:abstractNum>
  <w:abstractNum w:abstractNumId="1" w15:restartNumberingAfterBreak="0">
    <w:nsid w:val="07057D34"/>
    <w:multiLevelType w:val="hybridMultilevel"/>
    <w:tmpl w:val="16CAB69E"/>
    <w:lvl w:ilvl="0" w:tplc="04160005">
      <w:start w:val="1"/>
      <w:numFmt w:val="bullet"/>
      <w:lvlText w:val=""/>
      <w:lvlJc w:val="left"/>
      <w:pPr>
        <w:ind w:left="1069" w:hanging="360"/>
      </w:pPr>
      <w:rPr>
        <w:rFonts w:ascii="Wingdings" w:hAnsi="Wingding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15:restartNumberingAfterBreak="0">
    <w:nsid w:val="0ACC6C9B"/>
    <w:multiLevelType w:val="hybridMultilevel"/>
    <w:tmpl w:val="1DCEB090"/>
    <w:lvl w:ilvl="0" w:tplc="04160017">
      <w:start w:val="1"/>
      <w:numFmt w:val="lowerLetter"/>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 w15:restartNumberingAfterBreak="0">
    <w:nsid w:val="15824BFA"/>
    <w:multiLevelType w:val="hybridMultilevel"/>
    <w:tmpl w:val="B9CC640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AA31854"/>
    <w:multiLevelType w:val="hybridMultilevel"/>
    <w:tmpl w:val="7BBE8B80"/>
    <w:lvl w:ilvl="0" w:tplc="04160005">
      <w:start w:val="1"/>
      <w:numFmt w:val="bullet"/>
      <w:lvlText w:val=""/>
      <w:lvlJc w:val="left"/>
      <w:pPr>
        <w:ind w:left="1069" w:hanging="360"/>
      </w:pPr>
      <w:rPr>
        <w:rFonts w:ascii="Wingdings" w:hAnsi="Wingdings" w:hint="default"/>
      </w:rPr>
    </w:lvl>
    <w:lvl w:ilvl="1" w:tplc="0416000D">
      <w:start w:val="1"/>
      <w:numFmt w:val="bullet"/>
      <w:lvlText w:val=""/>
      <w:lvlJc w:val="left"/>
      <w:pPr>
        <w:ind w:left="1789" w:hanging="360"/>
      </w:pPr>
      <w:rPr>
        <w:rFonts w:ascii="Wingdings" w:hAnsi="Wingdings" w:hint="default"/>
        <w:color w:val="auto"/>
        <w:sz w:val="24"/>
      </w:rPr>
    </w:lvl>
    <w:lvl w:ilvl="2" w:tplc="1E68F1DE">
      <w:start w:val="1"/>
      <w:numFmt w:val="lowerLetter"/>
      <w:lvlText w:val="%3)"/>
      <w:lvlJc w:val="left"/>
      <w:pPr>
        <w:ind w:left="2689" w:hanging="360"/>
      </w:pPr>
      <w:rPr>
        <w:rFonts w:hint="default"/>
      </w:r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15:restartNumberingAfterBreak="0">
    <w:nsid w:val="1AE57856"/>
    <w:multiLevelType w:val="hybridMultilevel"/>
    <w:tmpl w:val="8CDC50DC"/>
    <w:lvl w:ilvl="0" w:tplc="04160005">
      <w:start w:val="1"/>
      <w:numFmt w:val="bullet"/>
      <w:lvlText w:val=""/>
      <w:lvlJc w:val="left"/>
      <w:pPr>
        <w:ind w:left="1429" w:hanging="360"/>
      </w:pPr>
      <w:rPr>
        <w:rFonts w:ascii="Wingdings" w:hAnsi="Wingdings" w:hint="default"/>
      </w:rPr>
    </w:lvl>
    <w:lvl w:ilvl="1" w:tplc="04160003">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220F5552"/>
    <w:multiLevelType w:val="hybridMultilevel"/>
    <w:tmpl w:val="019062BE"/>
    <w:lvl w:ilvl="0" w:tplc="04160005">
      <w:start w:val="1"/>
      <w:numFmt w:val="bullet"/>
      <w:lvlText w:val=""/>
      <w:lvlJc w:val="left"/>
      <w:pPr>
        <w:ind w:left="1778" w:hanging="360"/>
      </w:pPr>
      <w:rPr>
        <w:rFonts w:ascii="Wingdings" w:hAnsi="Wingdings"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7" w15:restartNumberingAfterBreak="0">
    <w:nsid w:val="2CE62A9C"/>
    <w:multiLevelType w:val="hybridMultilevel"/>
    <w:tmpl w:val="C0F03180"/>
    <w:lvl w:ilvl="0" w:tplc="47B2D704">
      <w:start w:val="1"/>
      <w:numFmt w:val="lowerRoman"/>
      <w:lvlText w:val="%1."/>
      <w:lvlJc w:val="right"/>
      <w:pPr>
        <w:ind w:left="2140" w:hanging="360"/>
      </w:pPr>
      <w:rPr>
        <w:rFonts w:hint="default"/>
      </w:rPr>
    </w:lvl>
    <w:lvl w:ilvl="1" w:tplc="04160003">
      <w:start w:val="1"/>
      <w:numFmt w:val="bullet"/>
      <w:lvlText w:val="o"/>
      <w:lvlJc w:val="left"/>
      <w:pPr>
        <w:ind w:left="2860" w:hanging="360"/>
      </w:pPr>
      <w:rPr>
        <w:rFonts w:ascii="Courier New" w:hAnsi="Courier New" w:cs="Courier New" w:hint="default"/>
      </w:rPr>
    </w:lvl>
    <w:lvl w:ilvl="2" w:tplc="04160005">
      <w:start w:val="1"/>
      <w:numFmt w:val="bullet"/>
      <w:lvlText w:val=""/>
      <w:lvlJc w:val="left"/>
      <w:pPr>
        <w:ind w:left="3580" w:hanging="360"/>
      </w:pPr>
      <w:rPr>
        <w:rFonts w:ascii="Wingdings" w:hAnsi="Wingdings" w:hint="default"/>
      </w:rPr>
    </w:lvl>
    <w:lvl w:ilvl="3" w:tplc="04160001" w:tentative="1">
      <w:start w:val="1"/>
      <w:numFmt w:val="bullet"/>
      <w:lvlText w:val=""/>
      <w:lvlJc w:val="left"/>
      <w:pPr>
        <w:ind w:left="4300" w:hanging="360"/>
      </w:pPr>
      <w:rPr>
        <w:rFonts w:ascii="Symbol" w:hAnsi="Symbol" w:hint="default"/>
      </w:rPr>
    </w:lvl>
    <w:lvl w:ilvl="4" w:tplc="04160003" w:tentative="1">
      <w:start w:val="1"/>
      <w:numFmt w:val="bullet"/>
      <w:lvlText w:val="o"/>
      <w:lvlJc w:val="left"/>
      <w:pPr>
        <w:ind w:left="5020" w:hanging="360"/>
      </w:pPr>
      <w:rPr>
        <w:rFonts w:ascii="Courier New" w:hAnsi="Courier New" w:cs="Courier New" w:hint="default"/>
      </w:rPr>
    </w:lvl>
    <w:lvl w:ilvl="5" w:tplc="04160005" w:tentative="1">
      <w:start w:val="1"/>
      <w:numFmt w:val="bullet"/>
      <w:lvlText w:val=""/>
      <w:lvlJc w:val="left"/>
      <w:pPr>
        <w:ind w:left="5740" w:hanging="360"/>
      </w:pPr>
      <w:rPr>
        <w:rFonts w:ascii="Wingdings" w:hAnsi="Wingdings" w:hint="default"/>
      </w:rPr>
    </w:lvl>
    <w:lvl w:ilvl="6" w:tplc="04160001" w:tentative="1">
      <w:start w:val="1"/>
      <w:numFmt w:val="bullet"/>
      <w:lvlText w:val=""/>
      <w:lvlJc w:val="left"/>
      <w:pPr>
        <w:ind w:left="6460" w:hanging="360"/>
      </w:pPr>
      <w:rPr>
        <w:rFonts w:ascii="Symbol" w:hAnsi="Symbol" w:hint="default"/>
      </w:rPr>
    </w:lvl>
    <w:lvl w:ilvl="7" w:tplc="04160003" w:tentative="1">
      <w:start w:val="1"/>
      <w:numFmt w:val="bullet"/>
      <w:lvlText w:val="o"/>
      <w:lvlJc w:val="left"/>
      <w:pPr>
        <w:ind w:left="7180" w:hanging="360"/>
      </w:pPr>
      <w:rPr>
        <w:rFonts w:ascii="Courier New" w:hAnsi="Courier New" w:cs="Courier New" w:hint="default"/>
      </w:rPr>
    </w:lvl>
    <w:lvl w:ilvl="8" w:tplc="04160005" w:tentative="1">
      <w:start w:val="1"/>
      <w:numFmt w:val="bullet"/>
      <w:lvlText w:val=""/>
      <w:lvlJc w:val="left"/>
      <w:pPr>
        <w:ind w:left="7900" w:hanging="360"/>
      </w:pPr>
      <w:rPr>
        <w:rFonts w:ascii="Wingdings" w:hAnsi="Wingdings" w:hint="default"/>
      </w:rPr>
    </w:lvl>
  </w:abstractNum>
  <w:abstractNum w:abstractNumId="8" w15:restartNumberingAfterBreak="0">
    <w:nsid w:val="33504EAD"/>
    <w:multiLevelType w:val="hybridMultilevel"/>
    <w:tmpl w:val="2A6E4CAC"/>
    <w:lvl w:ilvl="0" w:tplc="04160005">
      <w:start w:val="1"/>
      <w:numFmt w:val="bullet"/>
      <w:lvlText w:val=""/>
      <w:lvlJc w:val="left"/>
      <w:pPr>
        <w:ind w:left="1734" w:hanging="360"/>
      </w:pPr>
      <w:rPr>
        <w:rFonts w:ascii="Wingdings" w:hAnsi="Wingdings" w:hint="default"/>
      </w:rPr>
    </w:lvl>
    <w:lvl w:ilvl="1" w:tplc="04160003" w:tentative="1">
      <w:start w:val="1"/>
      <w:numFmt w:val="bullet"/>
      <w:lvlText w:val="o"/>
      <w:lvlJc w:val="left"/>
      <w:pPr>
        <w:ind w:left="2454" w:hanging="360"/>
      </w:pPr>
      <w:rPr>
        <w:rFonts w:ascii="Courier New" w:hAnsi="Courier New" w:cs="Courier New" w:hint="default"/>
      </w:rPr>
    </w:lvl>
    <w:lvl w:ilvl="2" w:tplc="04160005" w:tentative="1">
      <w:start w:val="1"/>
      <w:numFmt w:val="bullet"/>
      <w:lvlText w:val=""/>
      <w:lvlJc w:val="left"/>
      <w:pPr>
        <w:ind w:left="3174" w:hanging="360"/>
      </w:pPr>
      <w:rPr>
        <w:rFonts w:ascii="Wingdings" w:hAnsi="Wingdings" w:hint="default"/>
      </w:rPr>
    </w:lvl>
    <w:lvl w:ilvl="3" w:tplc="04160001" w:tentative="1">
      <w:start w:val="1"/>
      <w:numFmt w:val="bullet"/>
      <w:lvlText w:val=""/>
      <w:lvlJc w:val="left"/>
      <w:pPr>
        <w:ind w:left="3894" w:hanging="360"/>
      </w:pPr>
      <w:rPr>
        <w:rFonts w:ascii="Symbol" w:hAnsi="Symbol" w:hint="default"/>
      </w:rPr>
    </w:lvl>
    <w:lvl w:ilvl="4" w:tplc="04160003" w:tentative="1">
      <w:start w:val="1"/>
      <w:numFmt w:val="bullet"/>
      <w:lvlText w:val="o"/>
      <w:lvlJc w:val="left"/>
      <w:pPr>
        <w:ind w:left="4614" w:hanging="360"/>
      </w:pPr>
      <w:rPr>
        <w:rFonts w:ascii="Courier New" w:hAnsi="Courier New" w:cs="Courier New" w:hint="default"/>
      </w:rPr>
    </w:lvl>
    <w:lvl w:ilvl="5" w:tplc="04160005" w:tentative="1">
      <w:start w:val="1"/>
      <w:numFmt w:val="bullet"/>
      <w:lvlText w:val=""/>
      <w:lvlJc w:val="left"/>
      <w:pPr>
        <w:ind w:left="5334" w:hanging="360"/>
      </w:pPr>
      <w:rPr>
        <w:rFonts w:ascii="Wingdings" w:hAnsi="Wingdings" w:hint="default"/>
      </w:rPr>
    </w:lvl>
    <w:lvl w:ilvl="6" w:tplc="04160001" w:tentative="1">
      <w:start w:val="1"/>
      <w:numFmt w:val="bullet"/>
      <w:lvlText w:val=""/>
      <w:lvlJc w:val="left"/>
      <w:pPr>
        <w:ind w:left="6054" w:hanging="360"/>
      </w:pPr>
      <w:rPr>
        <w:rFonts w:ascii="Symbol" w:hAnsi="Symbol" w:hint="default"/>
      </w:rPr>
    </w:lvl>
    <w:lvl w:ilvl="7" w:tplc="04160003" w:tentative="1">
      <w:start w:val="1"/>
      <w:numFmt w:val="bullet"/>
      <w:lvlText w:val="o"/>
      <w:lvlJc w:val="left"/>
      <w:pPr>
        <w:ind w:left="6774" w:hanging="360"/>
      </w:pPr>
      <w:rPr>
        <w:rFonts w:ascii="Courier New" w:hAnsi="Courier New" w:cs="Courier New" w:hint="default"/>
      </w:rPr>
    </w:lvl>
    <w:lvl w:ilvl="8" w:tplc="04160005" w:tentative="1">
      <w:start w:val="1"/>
      <w:numFmt w:val="bullet"/>
      <w:lvlText w:val=""/>
      <w:lvlJc w:val="left"/>
      <w:pPr>
        <w:ind w:left="7494" w:hanging="360"/>
      </w:pPr>
      <w:rPr>
        <w:rFonts w:ascii="Wingdings" w:hAnsi="Wingdings" w:hint="default"/>
      </w:rPr>
    </w:lvl>
  </w:abstractNum>
  <w:abstractNum w:abstractNumId="9" w15:restartNumberingAfterBreak="0">
    <w:nsid w:val="399305A6"/>
    <w:multiLevelType w:val="hybridMultilevel"/>
    <w:tmpl w:val="AD9CBE2E"/>
    <w:lvl w:ilvl="0" w:tplc="04160005">
      <w:start w:val="1"/>
      <w:numFmt w:val="bullet"/>
      <w:lvlText w:val=""/>
      <w:lvlJc w:val="left"/>
      <w:pPr>
        <w:ind w:left="2078" w:hanging="360"/>
      </w:pPr>
      <w:rPr>
        <w:rFonts w:ascii="Wingdings" w:hAnsi="Wingdings" w:hint="default"/>
      </w:rPr>
    </w:lvl>
    <w:lvl w:ilvl="1" w:tplc="04160003" w:tentative="1">
      <w:start w:val="1"/>
      <w:numFmt w:val="bullet"/>
      <w:lvlText w:val="o"/>
      <w:lvlJc w:val="left"/>
      <w:pPr>
        <w:ind w:left="2798" w:hanging="360"/>
      </w:pPr>
      <w:rPr>
        <w:rFonts w:ascii="Courier New" w:hAnsi="Courier New" w:cs="Courier New" w:hint="default"/>
      </w:rPr>
    </w:lvl>
    <w:lvl w:ilvl="2" w:tplc="04160005" w:tentative="1">
      <w:start w:val="1"/>
      <w:numFmt w:val="bullet"/>
      <w:lvlText w:val=""/>
      <w:lvlJc w:val="left"/>
      <w:pPr>
        <w:ind w:left="3518" w:hanging="360"/>
      </w:pPr>
      <w:rPr>
        <w:rFonts w:ascii="Wingdings" w:hAnsi="Wingdings" w:hint="default"/>
      </w:rPr>
    </w:lvl>
    <w:lvl w:ilvl="3" w:tplc="04160001" w:tentative="1">
      <w:start w:val="1"/>
      <w:numFmt w:val="bullet"/>
      <w:lvlText w:val=""/>
      <w:lvlJc w:val="left"/>
      <w:pPr>
        <w:ind w:left="4238" w:hanging="360"/>
      </w:pPr>
      <w:rPr>
        <w:rFonts w:ascii="Symbol" w:hAnsi="Symbol" w:hint="default"/>
      </w:rPr>
    </w:lvl>
    <w:lvl w:ilvl="4" w:tplc="04160003" w:tentative="1">
      <w:start w:val="1"/>
      <w:numFmt w:val="bullet"/>
      <w:lvlText w:val="o"/>
      <w:lvlJc w:val="left"/>
      <w:pPr>
        <w:ind w:left="4958" w:hanging="360"/>
      </w:pPr>
      <w:rPr>
        <w:rFonts w:ascii="Courier New" w:hAnsi="Courier New" w:cs="Courier New" w:hint="default"/>
      </w:rPr>
    </w:lvl>
    <w:lvl w:ilvl="5" w:tplc="04160005" w:tentative="1">
      <w:start w:val="1"/>
      <w:numFmt w:val="bullet"/>
      <w:lvlText w:val=""/>
      <w:lvlJc w:val="left"/>
      <w:pPr>
        <w:ind w:left="5678" w:hanging="360"/>
      </w:pPr>
      <w:rPr>
        <w:rFonts w:ascii="Wingdings" w:hAnsi="Wingdings" w:hint="default"/>
      </w:rPr>
    </w:lvl>
    <w:lvl w:ilvl="6" w:tplc="04160001" w:tentative="1">
      <w:start w:val="1"/>
      <w:numFmt w:val="bullet"/>
      <w:lvlText w:val=""/>
      <w:lvlJc w:val="left"/>
      <w:pPr>
        <w:ind w:left="6398" w:hanging="360"/>
      </w:pPr>
      <w:rPr>
        <w:rFonts w:ascii="Symbol" w:hAnsi="Symbol" w:hint="default"/>
      </w:rPr>
    </w:lvl>
    <w:lvl w:ilvl="7" w:tplc="04160003" w:tentative="1">
      <w:start w:val="1"/>
      <w:numFmt w:val="bullet"/>
      <w:lvlText w:val="o"/>
      <w:lvlJc w:val="left"/>
      <w:pPr>
        <w:ind w:left="7118" w:hanging="360"/>
      </w:pPr>
      <w:rPr>
        <w:rFonts w:ascii="Courier New" w:hAnsi="Courier New" w:cs="Courier New" w:hint="default"/>
      </w:rPr>
    </w:lvl>
    <w:lvl w:ilvl="8" w:tplc="04160005" w:tentative="1">
      <w:start w:val="1"/>
      <w:numFmt w:val="bullet"/>
      <w:lvlText w:val=""/>
      <w:lvlJc w:val="left"/>
      <w:pPr>
        <w:ind w:left="7838" w:hanging="360"/>
      </w:pPr>
      <w:rPr>
        <w:rFonts w:ascii="Wingdings" w:hAnsi="Wingdings" w:hint="default"/>
      </w:rPr>
    </w:lvl>
  </w:abstractNum>
  <w:abstractNum w:abstractNumId="10" w15:restartNumberingAfterBreak="0">
    <w:nsid w:val="3DEE1A7A"/>
    <w:multiLevelType w:val="hybridMultilevel"/>
    <w:tmpl w:val="EA8CADB8"/>
    <w:lvl w:ilvl="0" w:tplc="0416001B">
      <w:start w:val="1"/>
      <w:numFmt w:val="lowerRoman"/>
      <w:lvlText w:val="%1."/>
      <w:lvlJc w:val="right"/>
      <w:pPr>
        <w:ind w:left="2140" w:hanging="360"/>
      </w:pPr>
      <w:rPr>
        <w:rFonts w:hint="default"/>
      </w:rPr>
    </w:lvl>
    <w:lvl w:ilvl="1" w:tplc="04160003">
      <w:start w:val="1"/>
      <w:numFmt w:val="bullet"/>
      <w:lvlText w:val="o"/>
      <w:lvlJc w:val="left"/>
      <w:pPr>
        <w:ind w:left="2860" w:hanging="360"/>
      </w:pPr>
      <w:rPr>
        <w:rFonts w:ascii="Courier New" w:hAnsi="Courier New" w:cs="Courier New" w:hint="default"/>
      </w:rPr>
    </w:lvl>
    <w:lvl w:ilvl="2" w:tplc="04160005">
      <w:start w:val="1"/>
      <w:numFmt w:val="bullet"/>
      <w:lvlText w:val=""/>
      <w:lvlJc w:val="left"/>
      <w:pPr>
        <w:ind w:left="3580" w:hanging="360"/>
      </w:pPr>
      <w:rPr>
        <w:rFonts w:ascii="Wingdings" w:hAnsi="Wingdings" w:hint="default"/>
      </w:rPr>
    </w:lvl>
    <w:lvl w:ilvl="3" w:tplc="04160001" w:tentative="1">
      <w:start w:val="1"/>
      <w:numFmt w:val="bullet"/>
      <w:lvlText w:val=""/>
      <w:lvlJc w:val="left"/>
      <w:pPr>
        <w:ind w:left="4300" w:hanging="360"/>
      </w:pPr>
      <w:rPr>
        <w:rFonts w:ascii="Symbol" w:hAnsi="Symbol" w:hint="default"/>
      </w:rPr>
    </w:lvl>
    <w:lvl w:ilvl="4" w:tplc="04160003" w:tentative="1">
      <w:start w:val="1"/>
      <w:numFmt w:val="bullet"/>
      <w:lvlText w:val="o"/>
      <w:lvlJc w:val="left"/>
      <w:pPr>
        <w:ind w:left="5020" w:hanging="360"/>
      </w:pPr>
      <w:rPr>
        <w:rFonts w:ascii="Courier New" w:hAnsi="Courier New" w:cs="Courier New" w:hint="default"/>
      </w:rPr>
    </w:lvl>
    <w:lvl w:ilvl="5" w:tplc="04160005" w:tentative="1">
      <w:start w:val="1"/>
      <w:numFmt w:val="bullet"/>
      <w:lvlText w:val=""/>
      <w:lvlJc w:val="left"/>
      <w:pPr>
        <w:ind w:left="5740" w:hanging="360"/>
      </w:pPr>
      <w:rPr>
        <w:rFonts w:ascii="Wingdings" w:hAnsi="Wingdings" w:hint="default"/>
      </w:rPr>
    </w:lvl>
    <w:lvl w:ilvl="6" w:tplc="04160001" w:tentative="1">
      <w:start w:val="1"/>
      <w:numFmt w:val="bullet"/>
      <w:lvlText w:val=""/>
      <w:lvlJc w:val="left"/>
      <w:pPr>
        <w:ind w:left="6460" w:hanging="360"/>
      </w:pPr>
      <w:rPr>
        <w:rFonts w:ascii="Symbol" w:hAnsi="Symbol" w:hint="default"/>
      </w:rPr>
    </w:lvl>
    <w:lvl w:ilvl="7" w:tplc="04160003" w:tentative="1">
      <w:start w:val="1"/>
      <w:numFmt w:val="bullet"/>
      <w:lvlText w:val="o"/>
      <w:lvlJc w:val="left"/>
      <w:pPr>
        <w:ind w:left="7180" w:hanging="360"/>
      </w:pPr>
      <w:rPr>
        <w:rFonts w:ascii="Courier New" w:hAnsi="Courier New" w:cs="Courier New" w:hint="default"/>
      </w:rPr>
    </w:lvl>
    <w:lvl w:ilvl="8" w:tplc="04160005" w:tentative="1">
      <w:start w:val="1"/>
      <w:numFmt w:val="bullet"/>
      <w:lvlText w:val=""/>
      <w:lvlJc w:val="left"/>
      <w:pPr>
        <w:ind w:left="7900" w:hanging="360"/>
      </w:pPr>
      <w:rPr>
        <w:rFonts w:ascii="Wingdings" w:hAnsi="Wingdings" w:hint="default"/>
      </w:rPr>
    </w:lvl>
  </w:abstractNum>
  <w:abstractNum w:abstractNumId="11" w15:restartNumberingAfterBreak="0">
    <w:nsid w:val="405824C1"/>
    <w:multiLevelType w:val="hybridMultilevel"/>
    <w:tmpl w:val="54ACD2E6"/>
    <w:lvl w:ilvl="0" w:tplc="38C8D83E">
      <w:start w:val="1"/>
      <w:numFmt w:val="bullet"/>
      <w:lvlText w:val="̶"/>
      <w:lvlJc w:val="left"/>
      <w:pPr>
        <w:ind w:left="2438" w:hanging="360"/>
      </w:pPr>
      <w:rPr>
        <w:rFonts w:ascii="Calibri" w:hAnsi="Calibri" w:hint="default"/>
        <w:sz w:val="18"/>
      </w:rPr>
    </w:lvl>
    <w:lvl w:ilvl="1" w:tplc="04160003" w:tentative="1">
      <w:start w:val="1"/>
      <w:numFmt w:val="bullet"/>
      <w:lvlText w:val="o"/>
      <w:lvlJc w:val="left"/>
      <w:pPr>
        <w:ind w:left="3158" w:hanging="360"/>
      </w:pPr>
      <w:rPr>
        <w:rFonts w:ascii="Courier New" w:hAnsi="Courier New" w:cs="Courier New" w:hint="default"/>
      </w:rPr>
    </w:lvl>
    <w:lvl w:ilvl="2" w:tplc="04160005" w:tentative="1">
      <w:start w:val="1"/>
      <w:numFmt w:val="bullet"/>
      <w:lvlText w:val=""/>
      <w:lvlJc w:val="left"/>
      <w:pPr>
        <w:ind w:left="3878" w:hanging="360"/>
      </w:pPr>
      <w:rPr>
        <w:rFonts w:ascii="Wingdings" w:hAnsi="Wingdings" w:hint="default"/>
      </w:rPr>
    </w:lvl>
    <w:lvl w:ilvl="3" w:tplc="04160001" w:tentative="1">
      <w:start w:val="1"/>
      <w:numFmt w:val="bullet"/>
      <w:lvlText w:val=""/>
      <w:lvlJc w:val="left"/>
      <w:pPr>
        <w:ind w:left="4598" w:hanging="360"/>
      </w:pPr>
      <w:rPr>
        <w:rFonts w:ascii="Symbol" w:hAnsi="Symbol" w:hint="default"/>
      </w:rPr>
    </w:lvl>
    <w:lvl w:ilvl="4" w:tplc="04160003" w:tentative="1">
      <w:start w:val="1"/>
      <w:numFmt w:val="bullet"/>
      <w:lvlText w:val="o"/>
      <w:lvlJc w:val="left"/>
      <w:pPr>
        <w:ind w:left="5318" w:hanging="360"/>
      </w:pPr>
      <w:rPr>
        <w:rFonts w:ascii="Courier New" w:hAnsi="Courier New" w:cs="Courier New" w:hint="default"/>
      </w:rPr>
    </w:lvl>
    <w:lvl w:ilvl="5" w:tplc="04160005" w:tentative="1">
      <w:start w:val="1"/>
      <w:numFmt w:val="bullet"/>
      <w:lvlText w:val=""/>
      <w:lvlJc w:val="left"/>
      <w:pPr>
        <w:ind w:left="6038" w:hanging="360"/>
      </w:pPr>
      <w:rPr>
        <w:rFonts w:ascii="Wingdings" w:hAnsi="Wingdings" w:hint="default"/>
      </w:rPr>
    </w:lvl>
    <w:lvl w:ilvl="6" w:tplc="04160001" w:tentative="1">
      <w:start w:val="1"/>
      <w:numFmt w:val="bullet"/>
      <w:lvlText w:val=""/>
      <w:lvlJc w:val="left"/>
      <w:pPr>
        <w:ind w:left="6758" w:hanging="360"/>
      </w:pPr>
      <w:rPr>
        <w:rFonts w:ascii="Symbol" w:hAnsi="Symbol" w:hint="default"/>
      </w:rPr>
    </w:lvl>
    <w:lvl w:ilvl="7" w:tplc="04160003" w:tentative="1">
      <w:start w:val="1"/>
      <w:numFmt w:val="bullet"/>
      <w:lvlText w:val="o"/>
      <w:lvlJc w:val="left"/>
      <w:pPr>
        <w:ind w:left="7478" w:hanging="360"/>
      </w:pPr>
      <w:rPr>
        <w:rFonts w:ascii="Courier New" w:hAnsi="Courier New" w:cs="Courier New" w:hint="default"/>
      </w:rPr>
    </w:lvl>
    <w:lvl w:ilvl="8" w:tplc="04160005" w:tentative="1">
      <w:start w:val="1"/>
      <w:numFmt w:val="bullet"/>
      <w:lvlText w:val=""/>
      <w:lvlJc w:val="left"/>
      <w:pPr>
        <w:ind w:left="8198" w:hanging="360"/>
      </w:pPr>
      <w:rPr>
        <w:rFonts w:ascii="Wingdings" w:hAnsi="Wingdings" w:hint="default"/>
      </w:rPr>
    </w:lvl>
  </w:abstractNum>
  <w:abstractNum w:abstractNumId="12" w15:restartNumberingAfterBreak="0">
    <w:nsid w:val="41E819E9"/>
    <w:multiLevelType w:val="hybridMultilevel"/>
    <w:tmpl w:val="8F02A684"/>
    <w:lvl w:ilvl="0" w:tplc="597A3506">
      <w:start w:val="1"/>
      <w:numFmt w:val="lowerRoman"/>
      <w:lvlText w:val="%1)"/>
      <w:lvlJc w:val="left"/>
      <w:pPr>
        <w:ind w:left="2138" w:hanging="720"/>
      </w:pPr>
      <w:rPr>
        <w:rFonts w:hint="default"/>
      </w:rPr>
    </w:lvl>
    <w:lvl w:ilvl="1" w:tplc="04160019">
      <w:start w:val="1"/>
      <w:numFmt w:val="lowerLetter"/>
      <w:lvlText w:val="%2."/>
      <w:lvlJc w:val="left"/>
      <w:pPr>
        <w:ind w:left="2498" w:hanging="360"/>
      </w:pPr>
    </w:lvl>
    <w:lvl w:ilvl="2" w:tplc="0416001B">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3" w15:restartNumberingAfterBreak="0">
    <w:nsid w:val="4CAF101D"/>
    <w:multiLevelType w:val="hybridMultilevel"/>
    <w:tmpl w:val="C264E872"/>
    <w:lvl w:ilvl="0" w:tplc="04160005">
      <w:start w:val="1"/>
      <w:numFmt w:val="bullet"/>
      <w:lvlText w:val=""/>
      <w:lvlJc w:val="left"/>
      <w:pPr>
        <w:ind w:left="998" w:hanging="360"/>
      </w:pPr>
      <w:rPr>
        <w:rFonts w:ascii="Wingdings" w:hAnsi="Wingdings" w:hint="default"/>
      </w:rPr>
    </w:lvl>
    <w:lvl w:ilvl="1" w:tplc="04160003" w:tentative="1">
      <w:start w:val="1"/>
      <w:numFmt w:val="bullet"/>
      <w:lvlText w:val="o"/>
      <w:lvlJc w:val="left"/>
      <w:pPr>
        <w:ind w:left="1718" w:hanging="360"/>
      </w:pPr>
      <w:rPr>
        <w:rFonts w:ascii="Courier New" w:hAnsi="Courier New" w:cs="Courier New" w:hint="default"/>
      </w:rPr>
    </w:lvl>
    <w:lvl w:ilvl="2" w:tplc="04160005" w:tentative="1">
      <w:start w:val="1"/>
      <w:numFmt w:val="bullet"/>
      <w:lvlText w:val=""/>
      <w:lvlJc w:val="left"/>
      <w:pPr>
        <w:ind w:left="2438" w:hanging="360"/>
      </w:pPr>
      <w:rPr>
        <w:rFonts w:ascii="Wingdings" w:hAnsi="Wingdings" w:hint="default"/>
      </w:rPr>
    </w:lvl>
    <w:lvl w:ilvl="3" w:tplc="04160001" w:tentative="1">
      <w:start w:val="1"/>
      <w:numFmt w:val="bullet"/>
      <w:lvlText w:val=""/>
      <w:lvlJc w:val="left"/>
      <w:pPr>
        <w:ind w:left="3158" w:hanging="360"/>
      </w:pPr>
      <w:rPr>
        <w:rFonts w:ascii="Symbol" w:hAnsi="Symbol" w:hint="default"/>
      </w:rPr>
    </w:lvl>
    <w:lvl w:ilvl="4" w:tplc="04160003" w:tentative="1">
      <w:start w:val="1"/>
      <w:numFmt w:val="bullet"/>
      <w:lvlText w:val="o"/>
      <w:lvlJc w:val="left"/>
      <w:pPr>
        <w:ind w:left="3878" w:hanging="360"/>
      </w:pPr>
      <w:rPr>
        <w:rFonts w:ascii="Courier New" w:hAnsi="Courier New" w:cs="Courier New" w:hint="default"/>
      </w:rPr>
    </w:lvl>
    <w:lvl w:ilvl="5" w:tplc="04160005" w:tentative="1">
      <w:start w:val="1"/>
      <w:numFmt w:val="bullet"/>
      <w:lvlText w:val=""/>
      <w:lvlJc w:val="left"/>
      <w:pPr>
        <w:ind w:left="4598" w:hanging="360"/>
      </w:pPr>
      <w:rPr>
        <w:rFonts w:ascii="Wingdings" w:hAnsi="Wingdings" w:hint="default"/>
      </w:rPr>
    </w:lvl>
    <w:lvl w:ilvl="6" w:tplc="04160001" w:tentative="1">
      <w:start w:val="1"/>
      <w:numFmt w:val="bullet"/>
      <w:lvlText w:val=""/>
      <w:lvlJc w:val="left"/>
      <w:pPr>
        <w:ind w:left="5318" w:hanging="360"/>
      </w:pPr>
      <w:rPr>
        <w:rFonts w:ascii="Symbol" w:hAnsi="Symbol" w:hint="default"/>
      </w:rPr>
    </w:lvl>
    <w:lvl w:ilvl="7" w:tplc="04160003" w:tentative="1">
      <w:start w:val="1"/>
      <w:numFmt w:val="bullet"/>
      <w:lvlText w:val="o"/>
      <w:lvlJc w:val="left"/>
      <w:pPr>
        <w:ind w:left="6038" w:hanging="360"/>
      </w:pPr>
      <w:rPr>
        <w:rFonts w:ascii="Courier New" w:hAnsi="Courier New" w:cs="Courier New" w:hint="default"/>
      </w:rPr>
    </w:lvl>
    <w:lvl w:ilvl="8" w:tplc="04160005" w:tentative="1">
      <w:start w:val="1"/>
      <w:numFmt w:val="bullet"/>
      <w:lvlText w:val=""/>
      <w:lvlJc w:val="left"/>
      <w:pPr>
        <w:ind w:left="6758" w:hanging="360"/>
      </w:pPr>
      <w:rPr>
        <w:rFonts w:ascii="Wingdings" w:hAnsi="Wingdings" w:hint="default"/>
      </w:rPr>
    </w:lvl>
  </w:abstractNum>
  <w:abstractNum w:abstractNumId="14" w15:restartNumberingAfterBreak="0">
    <w:nsid w:val="4F525506"/>
    <w:multiLevelType w:val="hybridMultilevel"/>
    <w:tmpl w:val="1E2863EE"/>
    <w:lvl w:ilvl="0" w:tplc="04160005">
      <w:start w:val="1"/>
      <w:numFmt w:val="bullet"/>
      <w:lvlText w:val=""/>
      <w:lvlJc w:val="left"/>
      <w:pPr>
        <w:ind w:left="1374" w:hanging="360"/>
      </w:pPr>
      <w:rPr>
        <w:rFonts w:ascii="Wingdings" w:hAnsi="Wingdings" w:hint="default"/>
      </w:rPr>
    </w:lvl>
    <w:lvl w:ilvl="1" w:tplc="04160003" w:tentative="1">
      <w:start w:val="1"/>
      <w:numFmt w:val="bullet"/>
      <w:lvlText w:val="o"/>
      <w:lvlJc w:val="left"/>
      <w:pPr>
        <w:ind w:left="2094" w:hanging="360"/>
      </w:pPr>
      <w:rPr>
        <w:rFonts w:ascii="Courier New" w:hAnsi="Courier New" w:cs="Courier New" w:hint="default"/>
      </w:rPr>
    </w:lvl>
    <w:lvl w:ilvl="2" w:tplc="04160005" w:tentative="1">
      <w:start w:val="1"/>
      <w:numFmt w:val="bullet"/>
      <w:lvlText w:val=""/>
      <w:lvlJc w:val="left"/>
      <w:pPr>
        <w:ind w:left="2814" w:hanging="360"/>
      </w:pPr>
      <w:rPr>
        <w:rFonts w:ascii="Wingdings" w:hAnsi="Wingdings" w:hint="default"/>
      </w:rPr>
    </w:lvl>
    <w:lvl w:ilvl="3" w:tplc="04160001" w:tentative="1">
      <w:start w:val="1"/>
      <w:numFmt w:val="bullet"/>
      <w:lvlText w:val=""/>
      <w:lvlJc w:val="left"/>
      <w:pPr>
        <w:ind w:left="3534" w:hanging="360"/>
      </w:pPr>
      <w:rPr>
        <w:rFonts w:ascii="Symbol" w:hAnsi="Symbol" w:hint="default"/>
      </w:rPr>
    </w:lvl>
    <w:lvl w:ilvl="4" w:tplc="04160003" w:tentative="1">
      <w:start w:val="1"/>
      <w:numFmt w:val="bullet"/>
      <w:lvlText w:val="o"/>
      <w:lvlJc w:val="left"/>
      <w:pPr>
        <w:ind w:left="4254" w:hanging="360"/>
      </w:pPr>
      <w:rPr>
        <w:rFonts w:ascii="Courier New" w:hAnsi="Courier New" w:cs="Courier New" w:hint="default"/>
      </w:rPr>
    </w:lvl>
    <w:lvl w:ilvl="5" w:tplc="04160005" w:tentative="1">
      <w:start w:val="1"/>
      <w:numFmt w:val="bullet"/>
      <w:lvlText w:val=""/>
      <w:lvlJc w:val="left"/>
      <w:pPr>
        <w:ind w:left="4974" w:hanging="360"/>
      </w:pPr>
      <w:rPr>
        <w:rFonts w:ascii="Wingdings" w:hAnsi="Wingdings" w:hint="default"/>
      </w:rPr>
    </w:lvl>
    <w:lvl w:ilvl="6" w:tplc="04160001" w:tentative="1">
      <w:start w:val="1"/>
      <w:numFmt w:val="bullet"/>
      <w:lvlText w:val=""/>
      <w:lvlJc w:val="left"/>
      <w:pPr>
        <w:ind w:left="5694" w:hanging="360"/>
      </w:pPr>
      <w:rPr>
        <w:rFonts w:ascii="Symbol" w:hAnsi="Symbol" w:hint="default"/>
      </w:rPr>
    </w:lvl>
    <w:lvl w:ilvl="7" w:tplc="04160003" w:tentative="1">
      <w:start w:val="1"/>
      <w:numFmt w:val="bullet"/>
      <w:lvlText w:val="o"/>
      <w:lvlJc w:val="left"/>
      <w:pPr>
        <w:ind w:left="6414" w:hanging="360"/>
      </w:pPr>
      <w:rPr>
        <w:rFonts w:ascii="Courier New" w:hAnsi="Courier New" w:cs="Courier New" w:hint="default"/>
      </w:rPr>
    </w:lvl>
    <w:lvl w:ilvl="8" w:tplc="04160005" w:tentative="1">
      <w:start w:val="1"/>
      <w:numFmt w:val="bullet"/>
      <w:lvlText w:val=""/>
      <w:lvlJc w:val="left"/>
      <w:pPr>
        <w:ind w:left="7134" w:hanging="360"/>
      </w:pPr>
      <w:rPr>
        <w:rFonts w:ascii="Wingdings" w:hAnsi="Wingdings" w:hint="default"/>
      </w:rPr>
    </w:lvl>
  </w:abstractNum>
  <w:abstractNum w:abstractNumId="15" w15:restartNumberingAfterBreak="0">
    <w:nsid w:val="52485E5C"/>
    <w:multiLevelType w:val="hybridMultilevel"/>
    <w:tmpl w:val="7B4E0616"/>
    <w:lvl w:ilvl="0" w:tplc="04AED35E">
      <w:start w:val="1"/>
      <w:numFmt w:val="bullet"/>
      <w:lvlText w:val="—"/>
      <w:lvlJc w:val="left"/>
      <w:pPr>
        <w:ind w:left="720" w:hanging="360"/>
      </w:pPr>
      <w:rPr>
        <w:rFonts w:ascii="Arial" w:hAnsi="Arial" w:cs="Arial" w:hint="default"/>
        <w:color w:val="auto"/>
        <w:sz w:val="2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E21EA6"/>
    <w:multiLevelType w:val="hybridMultilevel"/>
    <w:tmpl w:val="4B9286B2"/>
    <w:lvl w:ilvl="0" w:tplc="04160005">
      <w:start w:val="1"/>
      <w:numFmt w:val="bullet"/>
      <w:lvlText w:val=""/>
      <w:lvlJc w:val="left"/>
      <w:pPr>
        <w:ind w:left="2504" w:hanging="360"/>
      </w:pPr>
      <w:rPr>
        <w:rFonts w:ascii="Wingdings" w:hAnsi="Wingdings" w:hint="default"/>
      </w:rPr>
    </w:lvl>
    <w:lvl w:ilvl="1" w:tplc="04160003" w:tentative="1">
      <w:start w:val="1"/>
      <w:numFmt w:val="bullet"/>
      <w:lvlText w:val="o"/>
      <w:lvlJc w:val="left"/>
      <w:pPr>
        <w:ind w:left="3224" w:hanging="360"/>
      </w:pPr>
      <w:rPr>
        <w:rFonts w:ascii="Courier New" w:hAnsi="Courier New" w:cs="Courier New" w:hint="default"/>
      </w:rPr>
    </w:lvl>
    <w:lvl w:ilvl="2" w:tplc="04160005" w:tentative="1">
      <w:start w:val="1"/>
      <w:numFmt w:val="bullet"/>
      <w:lvlText w:val=""/>
      <w:lvlJc w:val="left"/>
      <w:pPr>
        <w:ind w:left="3944" w:hanging="360"/>
      </w:pPr>
      <w:rPr>
        <w:rFonts w:ascii="Wingdings" w:hAnsi="Wingdings" w:hint="default"/>
      </w:rPr>
    </w:lvl>
    <w:lvl w:ilvl="3" w:tplc="04160001" w:tentative="1">
      <w:start w:val="1"/>
      <w:numFmt w:val="bullet"/>
      <w:lvlText w:val=""/>
      <w:lvlJc w:val="left"/>
      <w:pPr>
        <w:ind w:left="4664" w:hanging="360"/>
      </w:pPr>
      <w:rPr>
        <w:rFonts w:ascii="Symbol" w:hAnsi="Symbol" w:hint="default"/>
      </w:rPr>
    </w:lvl>
    <w:lvl w:ilvl="4" w:tplc="04160003" w:tentative="1">
      <w:start w:val="1"/>
      <w:numFmt w:val="bullet"/>
      <w:lvlText w:val="o"/>
      <w:lvlJc w:val="left"/>
      <w:pPr>
        <w:ind w:left="5384" w:hanging="360"/>
      </w:pPr>
      <w:rPr>
        <w:rFonts w:ascii="Courier New" w:hAnsi="Courier New" w:cs="Courier New" w:hint="default"/>
      </w:rPr>
    </w:lvl>
    <w:lvl w:ilvl="5" w:tplc="04160005" w:tentative="1">
      <w:start w:val="1"/>
      <w:numFmt w:val="bullet"/>
      <w:lvlText w:val=""/>
      <w:lvlJc w:val="left"/>
      <w:pPr>
        <w:ind w:left="6104" w:hanging="360"/>
      </w:pPr>
      <w:rPr>
        <w:rFonts w:ascii="Wingdings" w:hAnsi="Wingdings" w:hint="default"/>
      </w:rPr>
    </w:lvl>
    <w:lvl w:ilvl="6" w:tplc="04160001" w:tentative="1">
      <w:start w:val="1"/>
      <w:numFmt w:val="bullet"/>
      <w:lvlText w:val=""/>
      <w:lvlJc w:val="left"/>
      <w:pPr>
        <w:ind w:left="6824" w:hanging="360"/>
      </w:pPr>
      <w:rPr>
        <w:rFonts w:ascii="Symbol" w:hAnsi="Symbol" w:hint="default"/>
      </w:rPr>
    </w:lvl>
    <w:lvl w:ilvl="7" w:tplc="04160003" w:tentative="1">
      <w:start w:val="1"/>
      <w:numFmt w:val="bullet"/>
      <w:lvlText w:val="o"/>
      <w:lvlJc w:val="left"/>
      <w:pPr>
        <w:ind w:left="7544" w:hanging="360"/>
      </w:pPr>
      <w:rPr>
        <w:rFonts w:ascii="Courier New" w:hAnsi="Courier New" w:cs="Courier New" w:hint="default"/>
      </w:rPr>
    </w:lvl>
    <w:lvl w:ilvl="8" w:tplc="04160005" w:tentative="1">
      <w:start w:val="1"/>
      <w:numFmt w:val="bullet"/>
      <w:lvlText w:val=""/>
      <w:lvlJc w:val="left"/>
      <w:pPr>
        <w:ind w:left="8264" w:hanging="360"/>
      </w:pPr>
      <w:rPr>
        <w:rFonts w:ascii="Wingdings" w:hAnsi="Wingdings" w:hint="default"/>
      </w:rPr>
    </w:lvl>
  </w:abstractNum>
  <w:abstractNum w:abstractNumId="17" w15:restartNumberingAfterBreak="0">
    <w:nsid w:val="55660421"/>
    <w:multiLevelType w:val="multilevel"/>
    <w:tmpl w:val="C8D4F2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Styl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EA4565"/>
    <w:multiLevelType w:val="hybridMultilevel"/>
    <w:tmpl w:val="D18EF492"/>
    <w:lvl w:ilvl="0" w:tplc="04160005">
      <w:start w:val="1"/>
      <w:numFmt w:val="bullet"/>
      <w:lvlText w:val=""/>
      <w:lvlJc w:val="left"/>
      <w:pPr>
        <w:ind w:left="1146" w:hanging="360"/>
      </w:pPr>
      <w:rPr>
        <w:rFonts w:ascii="Wingdings" w:hAnsi="Wingdings" w:hint="default"/>
      </w:rPr>
    </w:lvl>
    <w:lvl w:ilvl="1" w:tplc="04160003">
      <w:start w:val="1"/>
      <w:numFmt w:val="bullet"/>
      <w:lvlText w:val="o"/>
      <w:lvlJc w:val="left"/>
      <w:pPr>
        <w:ind w:left="1866" w:hanging="360"/>
      </w:pPr>
      <w:rPr>
        <w:rFonts w:ascii="Courier New" w:hAnsi="Courier New" w:cs="Courier New" w:hint="default"/>
      </w:rPr>
    </w:lvl>
    <w:lvl w:ilvl="2" w:tplc="04160005">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9" w15:restartNumberingAfterBreak="0">
    <w:nsid w:val="66CD1966"/>
    <w:multiLevelType w:val="multilevel"/>
    <w:tmpl w:val="162286DE"/>
    <w:lvl w:ilvl="0">
      <w:start w:val="5"/>
      <w:numFmt w:val="decimal"/>
      <w:lvlText w:val="%1."/>
      <w:lvlJc w:val="left"/>
      <w:pPr>
        <w:ind w:left="360" w:hanging="360"/>
      </w:pPr>
      <w:rPr>
        <w:rFonts w:hint="default"/>
      </w:rPr>
    </w:lvl>
    <w:lvl w:ilvl="1">
      <w:start w:val="1"/>
      <w:numFmt w:val="decimal"/>
      <w:pStyle w:val="Style2"/>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726027BB"/>
    <w:multiLevelType w:val="hybridMultilevel"/>
    <w:tmpl w:val="EA2AEB6C"/>
    <w:lvl w:ilvl="0" w:tplc="04160005">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3"/>
  </w:num>
  <w:num w:numId="2">
    <w:abstractNumId w:val="0"/>
  </w:num>
  <w:num w:numId="3">
    <w:abstractNumId w:val="19"/>
  </w:num>
  <w:num w:numId="4">
    <w:abstractNumId w:val="17"/>
  </w:num>
  <w:num w:numId="5">
    <w:abstractNumId w:val="18"/>
  </w:num>
  <w:num w:numId="6">
    <w:abstractNumId w:val="3"/>
  </w:num>
  <w:num w:numId="7">
    <w:abstractNumId w:val="1"/>
  </w:num>
  <w:num w:numId="8">
    <w:abstractNumId w:val="15"/>
  </w:num>
  <w:num w:numId="9">
    <w:abstractNumId w:val="4"/>
  </w:num>
  <w:num w:numId="10">
    <w:abstractNumId w:val="6"/>
  </w:num>
  <w:num w:numId="11">
    <w:abstractNumId w:val="2"/>
  </w:num>
  <w:num w:numId="12">
    <w:abstractNumId w:val="20"/>
  </w:num>
  <w:num w:numId="13">
    <w:abstractNumId w:val="12"/>
  </w:num>
  <w:num w:numId="14">
    <w:abstractNumId w:val="5"/>
  </w:num>
  <w:num w:numId="15">
    <w:abstractNumId w:val="14"/>
  </w:num>
  <w:num w:numId="16">
    <w:abstractNumId w:val="8"/>
  </w:num>
  <w:num w:numId="17">
    <w:abstractNumId w:val="16"/>
  </w:num>
  <w:num w:numId="18">
    <w:abstractNumId w:val="10"/>
  </w:num>
  <w:num w:numId="19">
    <w:abstractNumId w:val="7"/>
  </w:num>
  <w:num w:numId="20">
    <w:abstractNumId w:val="9"/>
  </w:num>
  <w:num w:numId="21">
    <w:abstractNumId w:val="11"/>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76"/>
    <w:rsid w:val="000004C3"/>
    <w:rsid w:val="00030C2D"/>
    <w:rsid w:val="00034DBC"/>
    <w:rsid w:val="00042486"/>
    <w:rsid w:val="00042F73"/>
    <w:rsid w:val="0005327E"/>
    <w:rsid w:val="00071C84"/>
    <w:rsid w:val="0008082B"/>
    <w:rsid w:val="00080ACC"/>
    <w:rsid w:val="000862AF"/>
    <w:rsid w:val="000A3877"/>
    <w:rsid w:val="000B023C"/>
    <w:rsid w:val="000B7086"/>
    <w:rsid w:val="000C6A5A"/>
    <w:rsid w:val="00106A68"/>
    <w:rsid w:val="00117097"/>
    <w:rsid w:val="00152E0C"/>
    <w:rsid w:val="001771D0"/>
    <w:rsid w:val="00184B43"/>
    <w:rsid w:val="00193D0A"/>
    <w:rsid w:val="00194178"/>
    <w:rsid w:val="001B0D58"/>
    <w:rsid w:val="001C4711"/>
    <w:rsid w:val="001D0B80"/>
    <w:rsid w:val="001D126B"/>
    <w:rsid w:val="001D5364"/>
    <w:rsid w:val="001F0D4D"/>
    <w:rsid w:val="001F3DF9"/>
    <w:rsid w:val="00235BA2"/>
    <w:rsid w:val="00243A29"/>
    <w:rsid w:val="00255FA8"/>
    <w:rsid w:val="00264ED5"/>
    <w:rsid w:val="00267974"/>
    <w:rsid w:val="0027071E"/>
    <w:rsid w:val="00292F87"/>
    <w:rsid w:val="00297FDE"/>
    <w:rsid w:val="002A14B3"/>
    <w:rsid w:val="002B4556"/>
    <w:rsid w:val="002C7385"/>
    <w:rsid w:val="0030058B"/>
    <w:rsid w:val="00305049"/>
    <w:rsid w:val="003122FC"/>
    <w:rsid w:val="00313D0B"/>
    <w:rsid w:val="0031438E"/>
    <w:rsid w:val="003174A8"/>
    <w:rsid w:val="0032313B"/>
    <w:rsid w:val="00380D95"/>
    <w:rsid w:val="003C58EC"/>
    <w:rsid w:val="003E1865"/>
    <w:rsid w:val="003E7E7F"/>
    <w:rsid w:val="00442874"/>
    <w:rsid w:val="00451F14"/>
    <w:rsid w:val="00466EA2"/>
    <w:rsid w:val="00473864"/>
    <w:rsid w:val="00484A4B"/>
    <w:rsid w:val="00484E91"/>
    <w:rsid w:val="004A1BE3"/>
    <w:rsid w:val="004B41E7"/>
    <w:rsid w:val="004C2060"/>
    <w:rsid w:val="004C474A"/>
    <w:rsid w:val="004F1D56"/>
    <w:rsid w:val="00502A6A"/>
    <w:rsid w:val="00506E0D"/>
    <w:rsid w:val="00507F62"/>
    <w:rsid w:val="00521FC8"/>
    <w:rsid w:val="0052210A"/>
    <w:rsid w:val="005267C2"/>
    <w:rsid w:val="00532F71"/>
    <w:rsid w:val="00533048"/>
    <w:rsid w:val="00551FC8"/>
    <w:rsid w:val="00556A13"/>
    <w:rsid w:val="00563267"/>
    <w:rsid w:val="00567443"/>
    <w:rsid w:val="00567994"/>
    <w:rsid w:val="00572692"/>
    <w:rsid w:val="00593256"/>
    <w:rsid w:val="00595544"/>
    <w:rsid w:val="005B6025"/>
    <w:rsid w:val="005E296D"/>
    <w:rsid w:val="00622F37"/>
    <w:rsid w:val="00630F7E"/>
    <w:rsid w:val="00654FE9"/>
    <w:rsid w:val="00677789"/>
    <w:rsid w:val="00691D57"/>
    <w:rsid w:val="006A1179"/>
    <w:rsid w:val="006B0750"/>
    <w:rsid w:val="006B62A7"/>
    <w:rsid w:val="006B7BEE"/>
    <w:rsid w:val="006E2DF6"/>
    <w:rsid w:val="006E3861"/>
    <w:rsid w:val="006E4A1B"/>
    <w:rsid w:val="006F7853"/>
    <w:rsid w:val="007124B3"/>
    <w:rsid w:val="00712C75"/>
    <w:rsid w:val="007254CF"/>
    <w:rsid w:val="00743468"/>
    <w:rsid w:val="00772A7C"/>
    <w:rsid w:val="007836D0"/>
    <w:rsid w:val="007B6B4C"/>
    <w:rsid w:val="007C3715"/>
    <w:rsid w:val="007C72CA"/>
    <w:rsid w:val="008114AF"/>
    <w:rsid w:val="0084759B"/>
    <w:rsid w:val="008541BF"/>
    <w:rsid w:val="0088677F"/>
    <w:rsid w:val="00890D7C"/>
    <w:rsid w:val="0089163D"/>
    <w:rsid w:val="008A1411"/>
    <w:rsid w:val="008A265C"/>
    <w:rsid w:val="008D2702"/>
    <w:rsid w:val="008F1071"/>
    <w:rsid w:val="009129D7"/>
    <w:rsid w:val="00922BB2"/>
    <w:rsid w:val="00946460"/>
    <w:rsid w:val="00951A09"/>
    <w:rsid w:val="00963B25"/>
    <w:rsid w:val="009730D3"/>
    <w:rsid w:val="009B0F6F"/>
    <w:rsid w:val="009B17BD"/>
    <w:rsid w:val="009B7F76"/>
    <w:rsid w:val="009D3B41"/>
    <w:rsid w:val="009D5CBE"/>
    <w:rsid w:val="009F1C07"/>
    <w:rsid w:val="009F6898"/>
    <w:rsid w:val="00A03763"/>
    <w:rsid w:val="00A1094A"/>
    <w:rsid w:val="00A22989"/>
    <w:rsid w:val="00A348CD"/>
    <w:rsid w:val="00A37EDD"/>
    <w:rsid w:val="00A44B4B"/>
    <w:rsid w:val="00A54E39"/>
    <w:rsid w:val="00A8201C"/>
    <w:rsid w:val="00A966FB"/>
    <w:rsid w:val="00AC571B"/>
    <w:rsid w:val="00B1433F"/>
    <w:rsid w:val="00B20B58"/>
    <w:rsid w:val="00B22691"/>
    <w:rsid w:val="00B32BDD"/>
    <w:rsid w:val="00B33CE9"/>
    <w:rsid w:val="00B616DC"/>
    <w:rsid w:val="00B91B6D"/>
    <w:rsid w:val="00B95FD3"/>
    <w:rsid w:val="00BA50A7"/>
    <w:rsid w:val="00BA5A69"/>
    <w:rsid w:val="00BB4BA9"/>
    <w:rsid w:val="00BE6808"/>
    <w:rsid w:val="00BF19A0"/>
    <w:rsid w:val="00C16FC0"/>
    <w:rsid w:val="00C45B97"/>
    <w:rsid w:val="00C559B1"/>
    <w:rsid w:val="00C56D8F"/>
    <w:rsid w:val="00C64867"/>
    <w:rsid w:val="00C7010C"/>
    <w:rsid w:val="00C723FE"/>
    <w:rsid w:val="00CB3E92"/>
    <w:rsid w:val="00CC34E5"/>
    <w:rsid w:val="00CC3566"/>
    <w:rsid w:val="00CC797A"/>
    <w:rsid w:val="00CE6C54"/>
    <w:rsid w:val="00CF10F5"/>
    <w:rsid w:val="00D25291"/>
    <w:rsid w:val="00D42201"/>
    <w:rsid w:val="00D4367B"/>
    <w:rsid w:val="00D547C3"/>
    <w:rsid w:val="00D86A59"/>
    <w:rsid w:val="00D91476"/>
    <w:rsid w:val="00DA0EAE"/>
    <w:rsid w:val="00DC62BD"/>
    <w:rsid w:val="00DE3829"/>
    <w:rsid w:val="00DE4573"/>
    <w:rsid w:val="00DF215C"/>
    <w:rsid w:val="00E02804"/>
    <w:rsid w:val="00E325E5"/>
    <w:rsid w:val="00E62D95"/>
    <w:rsid w:val="00E92425"/>
    <w:rsid w:val="00E952B6"/>
    <w:rsid w:val="00EE088A"/>
    <w:rsid w:val="00F068CB"/>
    <w:rsid w:val="00F114B3"/>
    <w:rsid w:val="00F34D6C"/>
    <w:rsid w:val="00F40719"/>
    <w:rsid w:val="00F43A06"/>
    <w:rsid w:val="00F4635E"/>
    <w:rsid w:val="00F47E29"/>
    <w:rsid w:val="00F73D05"/>
    <w:rsid w:val="00FC4982"/>
    <w:rsid w:val="00FD67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F7FD48-37BE-422D-8A6C-31599A51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76"/>
    <w:pPr>
      <w:spacing w:after="0" w:line="240" w:lineRule="auto"/>
    </w:pPr>
    <w:rPr>
      <w:rFonts w:ascii="Times New Roman" w:hAnsi="Times New Roman" w:cs="Times New Roman"/>
      <w:sz w:val="24"/>
      <w:szCs w:val="24"/>
      <w:lang w:eastAsia="pt-BR"/>
    </w:rPr>
  </w:style>
  <w:style w:type="paragraph" w:styleId="Ttulo1">
    <w:name w:val="heading 1"/>
    <w:basedOn w:val="Normal"/>
    <w:next w:val="Normal"/>
    <w:link w:val="Ttulo1Char"/>
    <w:qFormat/>
    <w:rsid w:val="00380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3E186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D2702"/>
    <w:pPr>
      <w:tabs>
        <w:tab w:val="center" w:pos="4252"/>
        <w:tab w:val="right" w:pos="8504"/>
      </w:tabs>
    </w:pPr>
  </w:style>
  <w:style w:type="character" w:customStyle="1" w:styleId="CabealhoChar">
    <w:name w:val="Cabeçalho Char"/>
    <w:basedOn w:val="Fontepargpadro"/>
    <w:link w:val="Cabealho"/>
    <w:uiPriority w:val="99"/>
    <w:rsid w:val="008D2702"/>
    <w:rPr>
      <w:rFonts w:ascii="Times New Roman" w:hAnsi="Times New Roman" w:cs="Times New Roman"/>
      <w:sz w:val="24"/>
      <w:szCs w:val="24"/>
      <w:lang w:eastAsia="pt-BR"/>
    </w:rPr>
  </w:style>
  <w:style w:type="paragraph" w:styleId="Rodap">
    <w:name w:val="footer"/>
    <w:basedOn w:val="Normal"/>
    <w:link w:val="RodapChar"/>
    <w:uiPriority w:val="99"/>
    <w:unhideWhenUsed/>
    <w:rsid w:val="008D2702"/>
    <w:pPr>
      <w:tabs>
        <w:tab w:val="center" w:pos="4252"/>
        <w:tab w:val="right" w:pos="8504"/>
      </w:tabs>
    </w:pPr>
  </w:style>
  <w:style w:type="character" w:customStyle="1" w:styleId="RodapChar">
    <w:name w:val="Rodapé Char"/>
    <w:basedOn w:val="Fontepargpadro"/>
    <w:link w:val="Rodap"/>
    <w:uiPriority w:val="99"/>
    <w:rsid w:val="008D2702"/>
    <w:rPr>
      <w:rFonts w:ascii="Times New Roman" w:hAnsi="Times New Roman" w:cs="Times New Roman"/>
      <w:sz w:val="24"/>
      <w:szCs w:val="24"/>
      <w:lang w:eastAsia="pt-BR"/>
    </w:rPr>
  </w:style>
  <w:style w:type="character" w:customStyle="1" w:styleId="Ttulo1Char">
    <w:name w:val="Título 1 Char"/>
    <w:basedOn w:val="Fontepargpadro"/>
    <w:link w:val="Ttulo1"/>
    <w:uiPriority w:val="9"/>
    <w:rsid w:val="00380D95"/>
    <w:rPr>
      <w:rFonts w:asciiTheme="majorHAnsi" w:eastAsiaTheme="majorEastAsia" w:hAnsiTheme="majorHAnsi" w:cstheme="majorBidi"/>
      <w:color w:val="2E74B5" w:themeColor="accent1" w:themeShade="BF"/>
      <w:sz w:val="32"/>
      <w:szCs w:val="32"/>
      <w:lang w:eastAsia="pt-BR"/>
    </w:rPr>
  </w:style>
  <w:style w:type="paragraph" w:styleId="CabealhodoSumrio">
    <w:name w:val="TOC Heading"/>
    <w:basedOn w:val="Ttulo1"/>
    <w:next w:val="Normal"/>
    <w:uiPriority w:val="39"/>
    <w:unhideWhenUsed/>
    <w:qFormat/>
    <w:rsid w:val="00380D95"/>
    <w:pPr>
      <w:spacing w:before="480" w:line="276" w:lineRule="auto"/>
      <w:outlineLvl w:val="9"/>
    </w:pPr>
    <w:rPr>
      <w:b/>
      <w:bCs/>
      <w:sz w:val="28"/>
      <w:szCs w:val="28"/>
    </w:rPr>
  </w:style>
  <w:style w:type="paragraph" w:styleId="Sumrio1">
    <w:name w:val="toc 1"/>
    <w:basedOn w:val="Normal"/>
    <w:next w:val="Normal"/>
    <w:autoRedefine/>
    <w:uiPriority w:val="39"/>
    <w:unhideWhenUsed/>
    <w:rsid w:val="00380D95"/>
    <w:pPr>
      <w:spacing w:after="100" w:line="276" w:lineRule="auto"/>
    </w:pPr>
    <w:rPr>
      <w:rFonts w:asciiTheme="minorHAnsi" w:hAnsiTheme="minorHAnsi" w:cstheme="minorBidi"/>
      <w:sz w:val="22"/>
      <w:szCs w:val="22"/>
      <w:lang w:eastAsia="en-US"/>
    </w:rPr>
  </w:style>
  <w:style w:type="character" w:styleId="Hyperlink">
    <w:name w:val="Hyperlink"/>
    <w:basedOn w:val="Fontepargpadro"/>
    <w:uiPriority w:val="99"/>
    <w:unhideWhenUsed/>
    <w:rsid w:val="00380D95"/>
    <w:rPr>
      <w:color w:val="0563C1" w:themeColor="hyperlink"/>
      <w:u w:val="single"/>
    </w:rPr>
  </w:style>
  <w:style w:type="paragraph" w:styleId="PargrafodaLista">
    <w:name w:val="List Paragraph"/>
    <w:basedOn w:val="Normal"/>
    <w:link w:val="PargrafodaListaChar"/>
    <w:uiPriority w:val="34"/>
    <w:qFormat/>
    <w:rsid w:val="007C3715"/>
    <w:pPr>
      <w:ind w:left="720"/>
      <w:contextualSpacing/>
    </w:pPr>
  </w:style>
  <w:style w:type="table" w:styleId="Tabelacomgrade">
    <w:name w:val="Table Grid"/>
    <w:basedOn w:val="Tabelanormal"/>
    <w:rsid w:val="00A9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inha">
    <w:name w:val="line number"/>
    <w:basedOn w:val="Fontepargpadro"/>
    <w:uiPriority w:val="99"/>
    <w:semiHidden/>
    <w:unhideWhenUsed/>
    <w:rsid w:val="00C7010C"/>
  </w:style>
  <w:style w:type="paragraph" w:styleId="Corpodetexto">
    <w:name w:val="Body Text"/>
    <w:basedOn w:val="Normal"/>
    <w:link w:val="CorpodetextoChar"/>
    <w:uiPriority w:val="99"/>
    <w:rsid w:val="00235BA2"/>
    <w:pPr>
      <w:jc w:val="both"/>
    </w:pPr>
    <w:rPr>
      <w:rFonts w:ascii="Arial" w:eastAsia="Times New Roman" w:hAnsi="Arial"/>
      <w:bCs/>
      <w:i/>
      <w:iCs/>
      <w:sz w:val="22"/>
    </w:rPr>
  </w:style>
  <w:style w:type="character" w:customStyle="1" w:styleId="CorpodetextoChar">
    <w:name w:val="Corpo de texto Char"/>
    <w:basedOn w:val="Fontepargpadro"/>
    <w:link w:val="Corpodetexto"/>
    <w:uiPriority w:val="99"/>
    <w:rsid w:val="00235BA2"/>
    <w:rPr>
      <w:rFonts w:ascii="Arial" w:eastAsia="Times New Roman" w:hAnsi="Arial" w:cs="Times New Roman"/>
      <w:bCs/>
      <w:i/>
      <w:iCs/>
      <w:szCs w:val="24"/>
      <w:lang w:eastAsia="pt-BR"/>
    </w:rPr>
  </w:style>
  <w:style w:type="paragraph" w:styleId="Sumrio9">
    <w:name w:val="toc 9"/>
    <w:basedOn w:val="Normal"/>
    <w:next w:val="Normal"/>
    <w:autoRedefine/>
    <w:uiPriority w:val="39"/>
    <w:semiHidden/>
    <w:unhideWhenUsed/>
    <w:rsid w:val="00235BA2"/>
    <w:pPr>
      <w:spacing w:after="100"/>
      <w:ind w:left="1920"/>
    </w:pPr>
  </w:style>
  <w:style w:type="paragraph" w:customStyle="1" w:styleId="Body">
    <w:name w:val="Body"/>
    <w:basedOn w:val="Normal"/>
    <w:link w:val="BodyChar"/>
    <w:qFormat/>
    <w:rsid w:val="00235BA2"/>
    <w:pPr>
      <w:spacing w:before="120" w:line="259" w:lineRule="auto"/>
      <w:jc w:val="both"/>
    </w:pPr>
    <w:rPr>
      <w:rFonts w:asciiTheme="minorHAnsi" w:hAnsiTheme="minorHAnsi" w:cstheme="minorBidi"/>
      <w:sz w:val="22"/>
      <w:szCs w:val="22"/>
      <w:lang w:eastAsia="en-US"/>
    </w:rPr>
  </w:style>
  <w:style w:type="character" w:customStyle="1" w:styleId="BodyChar">
    <w:name w:val="Body Char"/>
    <w:basedOn w:val="Fontepargpadro"/>
    <w:link w:val="Body"/>
    <w:rsid w:val="00235BA2"/>
  </w:style>
  <w:style w:type="paragraph" w:styleId="Textodenotaderodap">
    <w:name w:val="footnote text"/>
    <w:basedOn w:val="Normal"/>
    <w:link w:val="TextodenotaderodapChar"/>
    <w:uiPriority w:val="99"/>
    <w:semiHidden/>
    <w:rsid w:val="003E1865"/>
    <w:pPr>
      <w:jc w:val="both"/>
    </w:pPr>
    <w:rPr>
      <w:rFonts w:ascii="Arial" w:eastAsia="Times New Roman" w:hAnsi="Arial"/>
      <w:sz w:val="20"/>
      <w:szCs w:val="20"/>
    </w:rPr>
  </w:style>
  <w:style w:type="character" w:customStyle="1" w:styleId="TextodenotaderodapChar">
    <w:name w:val="Texto de nota de rodapé Char"/>
    <w:basedOn w:val="Fontepargpadro"/>
    <w:link w:val="Textodenotaderodap"/>
    <w:uiPriority w:val="99"/>
    <w:semiHidden/>
    <w:rsid w:val="003E1865"/>
    <w:rPr>
      <w:rFonts w:ascii="Arial" w:eastAsia="Times New Roman" w:hAnsi="Arial" w:cs="Times New Roman"/>
      <w:sz w:val="20"/>
      <w:szCs w:val="20"/>
      <w:lang w:eastAsia="pt-BR"/>
    </w:rPr>
  </w:style>
  <w:style w:type="character" w:styleId="Refdenotaderodap">
    <w:name w:val="footnote reference"/>
    <w:uiPriority w:val="99"/>
    <w:rsid w:val="003E1865"/>
    <w:rPr>
      <w:vertAlign w:val="superscript"/>
    </w:rPr>
  </w:style>
  <w:style w:type="paragraph" w:customStyle="1" w:styleId="Default">
    <w:name w:val="Default"/>
    <w:rsid w:val="003E1865"/>
    <w:pPr>
      <w:autoSpaceDE w:val="0"/>
      <w:autoSpaceDN w:val="0"/>
      <w:adjustRightInd w:val="0"/>
      <w:spacing w:after="0" w:line="240" w:lineRule="auto"/>
    </w:pPr>
    <w:rPr>
      <w:rFonts w:ascii="Arial" w:eastAsia="Times New Roman" w:hAnsi="Arial" w:cs="Arial"/>
      <w:color w:val="000000"/>
      <w:sz w:val="24"/>
      <w:szCs w:val="24"/>
      <w:lang w:val="en-US" w:eastAsia="pt-BR"/>
    </w:rPr>
  </w:style>
  <w:style w:type="character" w:customStyle="1" w:styleId="Ttulo2Char">
    <w:name w:val="Título 2 Char"/>
    <w:basedOn w:val="Fontepargpadro"/>
    <w:link w:val="Ttulo2"/>
    <w:uiPriority w:val="9"/>
    <w:rsid w:val="003E1865"/>
    <w:rPr>
      <w:rFonts w:asciiTheme="majorHAnsi" w:eastAsiaTheme="majorEastAsia" w:hAnsiTheme="majorHAnsi" w:cstheme="majorBidi"/>
      <w:color w:val="2E74B5" w:themeColor="accent1" w:themeShade="BF"/>
      <w:sz w:val="26"/>
      <w:szCs w:val="26"/>
      <w:lang w:eastAsia="pt-BR"/>
    </w:rPr>
  </w:style>
  <w:style w:type="paragraph" w:styleId="Textodebalo">
    <w:name w:val="Balloon Text"/>
    <w:basedOn w:val="Normal"/>
    <w:link w:val="TextodebaloChar"/>
    <w:uiPriority w:val="99"/>
    <w:semiHidden/>
    <w:unhideWhenUsed/>
    <w:rsid w:val="003E1865"/>
    <w:rPr>
      <w:rFonts w:ascii="Segoe UI" w:hAnsi="Segoe UI" w:cs="Segoe UI"/>
      <w:sz w:val="18"/>
      <w:szCs w:val="18"/>
    </w:rPr>
  </w:style>
  <w:style w:type="character" w:customStyle="1" w:styleId="TextodebaloChar">
    <w:name w:val="Texto de balão Char"/>
    <w:basedOn w:val="Fontepargpadro"/>
    <w:link w:val="Textodebalo"/>
    <w:uiPriority w:val="99"/>
    <w:semiHidden/>
    <w:rsid w:val="003E1865"/>
    <w:rPr>
      <w:rFonts w:ascii="Segoe UI" w:hAnsi="Segoe UI" w:cs="Segoe UI"/>
      <w:sz w:val="18"/>
      <w:szCs w:val="18"/>
      <w:lang w:eastAsia="pt-BR"/>
    </w:rPr>
  </w:style>
  <w:style w:type="paragraph" w:styleId="Sumrio2">
    <w:name w:val="toc 2"/>
    <w:basedOn w:val="Normal"/>
    <w:next w:val="Normal"/>
    <w:autoRedefine/>
    <w:uiPriority w:val="39"/>
    <w:unhideWhenUsed/>
    <w:rsid w:val="004C2060"/>
    <w:pPr>
      <w:spacing w:after="100" w:line="259" w:lineRule="auto"/>
      <w:ind w:left="220"/>
    </w:pPr>
    <w:rPr>
      <w:rFonts w:asciiTheme="minorHAnsi" w:eastAsiaTheme="minorEastAsia" w:hAnsiTheme="minorHAnsi"/>
      <w:sz w:val="22"/>
      <w:szCs w:val="22"/>
      <w:lang w:val="en-US" w:eastAsia="en-US"/>
    </w:rPr>
  </w:style>
  <w:style w:type="paragraph" w:styleId="Sumrio3">
    <w:name w:val="toc 3"/>
    <w:basedOn w:val="Normal"/>
    <w:next w:val="Normal"/>
    <w:autoRedefine/>
    <w:uiPriority w:val="39"/>
    <w:unhideWhenUsed/>
    <w:rsid w:val="004C2060"/>
    <w:pPr>
      <w:spacing w:after="100" w:line="259" w:lineRule="auto"/>
      <w:ind w:left="440"/>
    </w:pPr>
    <w:rPr>
      <w:rFonts w:asciiTheme="minorHAnsi" w:eastAsiaTheme="minorEastAsia" w:hAnsiTheme="minorHAnsi"/>
      <w:sz w:val="22"/>
      <w:szCs w:val="22"/>
      <w:lang w:val="en-US" w:eastAsia="en-US"/>
    </w:rPr>
  </w:style>
  <w:style w:type="paragraph" w:customStyle="1" w:styleId="Style1">
    <w:name w:val="Style1"/>
    <w:basedOn w:val="Ttulo1"/>
    <w:link w:val="Style1Char"/>
    <w:qFormat/>
    <w:rsid w:val="007254CF"/>
    <w:pPr>
      <w:numPr>
        <w:numId w:val="2"/>
      </w:numPr>
      <w:spacing w:after="240"/>
    </w:pPr>
    <w:rPr>
      <w:rFonts w:asciiTheme="minorHAnsi" w:eastAsia="Times New Roman" w:hAnsiTheme="minorHAnsi" w:cstheme="minorHAnsi"/>
      <w:color w:val="000000" w:themeColor="text1"/>
      <w:sz w:val="24"/>
      <w:szCs w:val="24"/>
    </w:rPr>
  </w:style>
  <w:style w:type="paragraph" w:customStyle="1" w:styleId="Style2">
    <w:name w:val="Style2"/>
    <w:basedOn w:val="Ttulo2"/>
    <w:link w:val="Style2Char"/>
    <w:qFormat/>
    <w:rsid w:val="007254CF"/>
    <w:pPr>
      <w:numPr>
        <w:ilvl w:val="1"/>
        <w:numId w:val="3"/>
      </w:numPr>
      <w:spacing w:after="240"/>
    </w:pPr>
    <w:rPr>
      <w:rFonts w:asciiTheme="minorHAnsi" w:eastAsia="Times New Roman" w:hAnsiTheme="minorHAnsi" w:cstheme="minorHAnsi"/>
      <w:color w:val="000000" w:themeColor="text1"/>
      <w:sz w:val="24"/>
      <w:szCs w:val="24"/>
    </w:rPr>
  </w:style>
  <w:style w:type="character" w:customStyle="1" w:styleId="Style1Char">
    <w:name w:val="Style1 Char"/>
    <w:basedOn w:val="Ttulo1Char"/>
    <w:link w:val="Style1"/>
    <w:rsid w:val="007254CF"/>
    <w:rPr>
      <w:rFonts w:asciiTheme="majorHAnsi" w:eastAsia="Times New Roman" w:hAnsiTheme="majorHAnsi" w:cstheme="minorHAnsi"/>
      <w:color w:val="000000" w:themeColor="text1"/>
      <w:sz w:val="24"/>
      <w:szCs w:val="24"/>
      <w:lang w:eastAsia="pt-BR"/>
    </w:rPr>
  </w:style>
  <w:style w:type="paragraph" w:customStyle="1" w:styleId="Style3">
    <w:name w:val="Style3"/>
    <w:basedOn w:val="PargrafodaLista"/>
    <w:link w:val="Style3Char"/>
    <w:qFormat/>
    <w:rsid w:val="00255FA8"/>
    <w:pPr>
      <w:numPr>
        <w:ilvl w:val="2"/>
        <w:numId w:val="4"/>
      </w:numPr>
      <w:spacing w:before="240" w:after="240" w:line="360" w:lineRule="auto"/>
      <w:jc w:val="both"/>
    </w:pPr>
    <w:rPr>
      <w:rFonts w:asciiTheme="minorHAnsi" w:hAnsiTheme="minorHAnsi" w:cstheme="minorHAnsi"/>
    </w:rPr>
  </w:style>
  <w:style w:type="character" w:customStyle="1" w:styleId="Style2Char">
    <w:name w:val="Style2 Char"/>
    <w:basedOn w:val="Ttulo2Char"/>
    <w:link w:val="Style2"/>
    <w:rsid w:val="007254CF"/>
    <w:rPr>
      <w:rFonts w:asciiTheme="majorHAnsi" w:eastAsia="Times New Roman" w:hAnsiTheme="majorHAnsi" w:cstheme="minorHAnsi"/>
      <w:color w:val="000000" w:themeColor="text1"/>
      <w:sz w:val="24"/>
      <w:szCs w:val="24"/>
      <w:lang w:eastAsia="pt-BR"/>
    </w:rPr>
  </w:style>
  <w:style w:type="paragraph" w:styleId="Legenda">
    <w:name w:val="caption"/>
    <w:basedOn w:val="Normal"/>
    <w:next w:val="Normal"/>
    <w:uiPriority w:val="35"/>
    <w:qFormat/>
    <w:rsid w:val="00502A6A"/>
    <w:pPr>
      <w:spacing w:before="120" w:after="120"/>
      <w:jc w:val="both"/>
    </w:pPr>
    <w:rPr>
      <w:rFonts w:ascii="Arial" w:eastAsia="Times New Roman" w:hAnsi="Arial"/>
      <w:b/>
      <w:bCs/>
      <w:sz w:val="20"/>
      <w:szCs w:val="20"/>
    </w:rPr>
  </w:style>
  <w:style w:type="character" w:customStyle="1" w:styleId="PargrafodaListaChar">
    <w:name w:val="Parágrafo da Lista Char"/>
    <w:basedOn w:val="Fontepargpadro"/>
    <w:link w:val="PargrafodaLista"/>
    <w:uiPriority w:val="34"/>
    <w:rsid w:val="00255FA8"/>
    <w:rPr>
      <w:rFonts w:ascii="Times New Roman" w:hAnsi="Times New Roman" w:cs="Times New Roman"/>
      <w:sz w:val="24"/>
      <w:szCs w:val="24"/>
      <w:lang w:eastAsia="pt-BR"/>
    </w:rPr>
  </w:style>
  <w:style w:type="character" w:customStyle="1" w:styleId="Style3Char">
    <w:name w:val="Style3 Char"/>
    <w:basedOn w:val="PargrafodaListaChar"/>
    <w:link w:val="Style3"/>
    <w:rsid w:val="00255FA8"/>
    <w:rPr>
      <w:rFonts w:ascii="Times New Roman" w:hAnsi="Times New Roman" w:cstheme="minorHAnsi"/>
      <w:sz w:val="24"/>
      <w:szCs w:val="24"/>
      <w:lang w:eastAsia="pt-BR"/>
    </w:rPr>
  </w:style>
  <w:style w:type="paragraph" w:styleId="Textodecomentrio">
    <w:name w:val="annotation text"/>
    <w:basedOn w:val="Normal"/>
    <w:link w:val="TextodecomentrioChar"/>
    <w:semiHidden/>
    <w:rsid w:val="00C723FE"/>
    <w:pPr>
      <w:jc w:val="both"/>
    </w:pPr>
    <w:rPr>
      <w:rFonts w:ascii="Arial" w:eastAsia="Times New Roman" w:hAnsi="Arial"/>
      <w:sz w:val="20"/>
      <w:szCs w:val="20"/>
    </w:rPr>
  </w:style>
  <w:style w:type="character" w:customStyle="1" w:styleId="TextodecomentrioChar">
    <w:name w:val="Texto de comentário Char"/>
    <w:basedOn w:val="Fontepargpadro"/>
    <w:link w:val="Textodecomentrio"/>
    <w:semiHidden/>
    <w:rsid w:val="00C723FE"/>
    <w:rPr>
      <w:rFonts w:ascii="Arial" w:eastAsia="Times New Roman" w:hAnsi="Arial" w:cs="Times New Roman"/>
      <w:sz w:val="20"/>
      <w:szCs w:val="20"/>
      <w:lang w:eastAsia="pt-BR"/>
    </w:rPr>
  </w:style>
  <w:style w:type="character" w:styleId="Refdecomentrio">
    <w:name w:val="annotation reference"/>
    <w:semiHidden/>
    <w:rsid w:val="00C723FE"/>
    <w:rPr>
      <w:sz w:val="16"/>
      <w:szCs w:val="16"/>
    </w:rPr>
  </w:style>
  <w:style w:type="paragraph" w:customStyle="1" w:styleId="Blockident5">
    <w:name w:val="Block ident 5"/>
    <w:basedOn w:val="Normal"/>
    <w:link w:val="Blockident5Char"/>
    <w:rsid w:val="00C723FE"/>
    <w:pPr>
      <w:tabs>
        <w:tab w:val="left" w:pos="1701"/>
        <w:tab w:val="left" w:pos="2552"/>
      </w:tabs>
      <w:spacing w:before="40"/>
      <w:ind w:left="1701" w:right="142" w:hanging="1134"/>
      <w:jc w:val="both"/>
    </w:pPr>
    <w:rPr>
      <w:rFonts w:ascii="Arial" w:eastAsia="Batang" w:hAnsi="Arial"/>
      <w:sz w:val="22"/>
      <w:szCs w:val="22"/>
      <w:lang w:val="en-US"/>
    </w:rPr>
  </w:style>
  <w:style w:type="character" w:customStyle="1" w:styleId="Blockident5Char">
    <w:name w:val="Block ident 5 Char"/>
    <w:link w:val="Blockident5"/>
    <w:rsid w:val="00C723FE"/>
    <w:rPr>
      <w:rFonts w:ascii="Arial" w:eastAsia="Batang" w:hAnsi="Arial" w:cs="Times New Roman"/>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4515">
      <w:bodyDiv w:val="1"/>
      <w:marLeft w:val="0"/>
      <w:marRight w:val="0"/>
      <w:marTop w:val="0"/>
      <w:marBottom w:val="0"/>
      <w:divBdr>
        <w:top w:val="none" w:sz="0" w:space="0" w:color="auto"/>
        <w:left w:val="none" w:sz="0" w:space="0" w:color="auto"/>
        <w:bottom w:val="none" w:sz="0" w:space="0" w:color="auto"/>
        <w:right w:val="none" w:sz="0" w:space="0" w:color="auto"/>
      </w:divBdr>
    </w:div>
    <w:div w:id="582228859">
      <w:bodyDiv w:val="1"/>
      <w:marLeft w:val="0"/>
      <w:marRight w:val="0"/>
      <w:marTop w:val="0"/>
      <w:marBottom w:val="0"/>
      <w:divBdr>
        <w:top w:val="none" w:sz="0" w:space="0" w:color="auto"/>
        <w:left w:val="none" w:sz="0" w:space="0" w:color="auto"/>
        <w:bottom w:val="none" w:sz="0" w:space="0" w:color="auto"/>
        <w:right w:val="none" w:sz="0" w:space="0" w:color="auto"/>
      </w:divBdr>
    </w:div>
    <w:div w:id="627980309">
      <w:bodyDiv w:val="1"/>
      <w:marLeft w:val="0"/>
      <w:marRight w:val="0"/>
      <w:marTop w:val="0"/>
      <w:marBottom w:val="0"/>
      <w:divBdr>
        <w:top w:val="none" w:sz="0" w:space="0" w:color="auto"/>
        <w:left w:val="none" w:sz="0" w:space="0" w:color="auto"/>
        <w:bottom w:val="none" w:sz="0" w:space="0" w:color="auto"/>
        <w:right w:val="none" w:sz="0" w:space="0" w:color="auto"/>
      </w:divBdr>
    </w:div>
    <w:div w:id="650645321">
      <w:bodyDiv w:val="1"/>
      <w:marLeft w:val="0"/>
      <w:marRight w:val="0"/>
      <w:marTop w:val="0"/>
      <w:marBottom w:val="0"/>
      <w:divBdr>
        <w:top w:val="none" w:sz="0" w:space="0" w:color="auto"/>
        <w:left w:val="none" w:sz="0" w:space="0" w:color="auto"/>
        <w:bottom w:val="none" w:sz="0" w:space="0" w:color="auto"/>
        <w:right w:val="none" w:sz="0" w:space="0" w:color="auto"/>
      </w:divBdr>
    </w:div>
    <w:div w:id="822746249">
      <w:bodyDiv w:val="1"/>
      <w:marLeft w:val="0"/>
      <w:marRight w:val="0"/>
      <w:marTop w:val="0"/>
      <w:marBottom w:val="0"/>
      <w:divBdr>
        <w:top w:val="none" w:sz="0" w:space="0" w:color="auto"/>
        <w:left w:val="none" w:sz="0" w:space="0" w:color="auto"/>
        <w:bottom w:val="none" w:sz="0" w:space="0" w:color="auto"/>
        <w:right w:val="none" w:sz="0" w:space="0" w:color="auto"/>
      </w:divBdr>
    </w:div>
    <w:div w:id="881788420">
      <w:bodyDiv w:val="1"/>
      <w:marLeft w:val="0"/>
      <w:marRight w:val="0"/>
      <w:marTop w:val="0"/>
      <w:marBottom w:val="0"/>
      <w:divBdr>
        <w:top w:val="none" w:sz="0" w:space="0" w:color="auto"/>
        <w:left w:val="none" w:sz="0" w:space="0" w:color="auto"/>
        <w:bottom w:val="none" w:sz="0" w:space="0" w:color="auto"/>
        <w:right w:val="none" w:sz="0" w:space="0" w:color="auto"/>
      </w:divBdr>
    </w:div>
    <w:div w:id="985669947">
      <w:bodyDiv w:val="1"/>
      <w:marLeft w:val="0"/>
      <w:marRight w:val="0"/>
      <w:marTop w:val="0"/>
      <w:marBottom w:val="0"/>
      <w:divBdr>
        <w:top w:val="none" w:sz="0" w:space="0" w:color="auto"/>
        <w:left w:val="none" w:sz="0" w:space="0" w:color="auto"/>
        <w:bottom w:val="none" w:sz="0" w:space="0" w:color="auto"/>
        <w:right w:val="none" w:sz="0" w:space="0" w:color="auto"/>
      </w:divBdr>
    </w:div>
    <w:div w:id="1693800022">
      <w:bodyDiv w:val="1"/>
      <w:marLeft w:val="0"/>
      <w:marRight w:val="0"/>
      <w:marTop w:val="0"/>
      <w:marBottom w:val="0"/>
      <w:divBdr>
        <w:top w:val="none" w:sz="0" w:space="0" w:color="auto"/>
        <w:left w:val="none" w:sz="0" w:space="0" w:color="auto"/>
        <w:bottom w:val="none" w:sz="0" w:space="0" w:color="auto"/>
        <w:right w:val="none" w:sz="0" w:space="0" w:color="auto"/>
      </w:divBdr>
    </w:div>
    <w:div w:id="1741322270">
      <w:bodyDiv w:val="1"/>
      <w:marLeft w:val="0"/>
      <w:marRight w:val="0"/>
      <w:marTop w:val="0"/>
      <w:marBottom w:val="0"/>
      <w:divBdr>
        <w:top w:val="none" w:sz="0" w:space="0" w:color="auto"/>
        <w:left w:val="none" w:sz="0" w:space="0" w:color="auto"/>
        <w:bottom w:val="none" w:sz="0" w:space="0" w:color="auto"/>
        <w:right w:val="none" w:sz="0" w:space="0" w:color="auto"/>
      </w:divBdr>
    </w:div>
    <w:div w:id="1793474991">
      <w:bodyDiv w:val="1"/>
      <w:marLeft w:val="0"/>
      <w:marRight w:val="0"/>
      <w:marTop w:val="0"/>
      <w:marBottom w:val="0"/>
      <w:divBdr>
        <w:top w:val="none" w:sz="0" w:space="0" w:color="auto"/>
        <w:left w:val="none" w:sz="0" w:space="0" w:color="auto"/>
        <w:bottom w:val="none" w:sz="0" w:space="0" w:color="auto"/>
        <w:right w:val="none" w:sz="0" w:space="0" w:color="auto"/>
      </w:divBdr>
    </w:div>
    <w:div w:id="188155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cid:ii_15d5acf387d12cbc" TargetMode="External"/><Relationship Id="rId14" Type="http://schemas.openxmlformats.org/officeDocument/2006/relationships/footer" Target="footer2.xml"/><Relationship Id="rId22"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21030-5FDC-46BA-9A89-EE665171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5490</Words>
  <Characters>29647</Characters>
  <Application>Microsoft Office Word</Application>
  <DocSecurity>0</DocSecurity>
  <Lines>247</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Carlos Eduardo Medeiros de Carvalho</cp:lastModifiedBy>
  <cp:revision>6</cp:revision>
  <cp:lastPrinted>2017-06-23T18:14:00Z</cp:lastPrinted>
  <dcterms:created xsi:type="dcterms:W3CDTF">2017-09-08T22:51:00Z</dcterms:created>
  <dcterms:modified xsi:type="dcterms:W3CDTF">2018-02-07T16:22:00Z</dcterms:modified>
</cp:coreProperties>
</file>