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vsdx" ContentType="application/vnd.ms-visio.drawi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2C6B" w:rsidRDefault="00322C6B" w:rsidP="00322C6B">
      <w:pPr>
        <w:spacing w:after="0"/>
        <w:jc w:val="center"/>
        <w:rPr>
          <w:rFonts w:ascii="Arial" w:eastAsia="Arial" w:hAnsi="Arial" w:cs="Arial"/>
          <w:b/>
          <w:bCs/>
          <w:lang w:eastAsia="pt-BR" w:bidi="pt-BR"/>
        </w:rPr>
      </w:pPr>
      <w:r w:rsidRPr="00EB26CA">
        <w:rPr>
          <w:rFonts w:ascii="Arial" w:eastAsia="Arial" w:hAnsi="Arial" w:cs="Arial"/>
          <w:b/>
          <w:bCs/>
          <w:lang w:eastAsia="pt-BR" w:bidi="pt-BR"/>
        </w:rPr>
        <w:t xml:space="preserve">ANEXO </w:t>
      </w:r>
      <w:r w:rsidR="0025133B">
        <w:rPr>
          <w:rFonts w:ascii="Arial" w:eastAsia="Arial" w:hAnsi="Arial" w:cs="Arial"/>
          <w:b/>
          <w:bCs/>
          <w:lang w:eastAsia="pt-BR" w:bidi="pt-BR"/>
        </w:rPr>
        <w:t>E</w:t>
      </w:r>
      <w:bookmarkStart w:id="0" w:name="_GoBack"/>
      <w:bookmarkEnd w:id="0"/>
      <w:r w:rsidRPr="0021609B">
        <w:rPr>
          <w:rFonts w:ascii="Arial" w:eastAsia="Arial" w:hAnsi="Arial" w:cs="Arial"/>
          <w:b/>
          <w:bCs/>
          <w:lang w:eastAsia="pt-BR" w:bidi="pt-BR"/>
        </w:rPr>
        <w:t xml:space="preserve"> </w:t>
      </w:r>
      <w:r w:rsidRPr="00EB26CA">
        <w:rPr>
          <w:rFonts w:ascii="Arial" w:eastAsia="Arial" w:hAnsi="Arial" w:cs="Arial"/>
          <w:b/>
          <w:bCs/>
          <w:lang w:eastAsia="pt-BR" w:bidi="pt-BR"/>
        </w:rPr>
        <w:t>– PROVA DE CONCEITO</w:t>
      </w:r>
    </w:p>
    <w:p w:rsidR="00322C6B" w:rsidRDefault="00322C6B" w:rsidP="00322C6B">
      <w:pPr>
        <w:spacing w:after="0"/>
        <w:jc w:val="center"/>
        <w:rPr>
          <w:rFonts w:ascii="Arial" w:eastAsia="Arial" w:hAnsi="Arial" w:cs="Arial"/>
          <w:b/>
          <w:bCs/>
          <w:lang w:eastAsia="pt-BR" w:bidi="pt-BR"/>
        </w:rPr>
      </w:pPr>
    </w:p>
    <w:p w:rsidR="00322C6B" w:rsidRPr="00EB26CA" w:rsidRDefault="00322C6B" w:rsidP="00322C6B">
      <w:pPr>
        <w:spacing w:after="0"/>
        <w:jc w:val="center"/>
        <w:rPr>
          <w:rFonts w:ascii="Arial" w:eastAsia="Arial" w:hAnsi="Arial" w:cs="Arial"/>
          <w:b/>
          <w:bCs/>
          <w:lang w:eastAsia="pt-BR" w:bidi="pt-BR"/>
        </w:rPr>
      </w:pPr>
    </w:p>
    <w:p w:rsidR="00322C6B" w:rsidRDefault="00322C6B" w:rsidP="00322C6B">
      <w:pPr>
        <w:ind w:left="17"/>
        <w:jc w:val="both"/>
      </w:pPr>
      <w:r w:rsidRPr="00A34164">
        <w:t xml:space="preserve">A </w:t>
      </w:r>
      <w:r w:rsidR="00046A4A">
        <w:t>PPSA</w:t>
      </w:r>
      <w:r w:rsidRPr="00A34164">
        <w:t>, acompanhada por repres</w:t>
      </w:r>
      <w:r>
        <w:t>entante designado pela Licitante</w:t>
      </w:r>
      <w:r w:rsidRPr="00A34164">
        <w:t>, realizará</w:t>
      </w:r>
      <w:r w:rsidR="0081661A">
        <w:t>,</w:t>
      </w:r>
      <w:r>
        <w:t xml:space="preserve"> no prazo máximo de </w:t>
      </w:r>
      <w:r w:rsidRPr="00A277FF">
        <w:t>1</w:t>
      </w:r>
      <w:r w:rsidR="00A277FF" w:rsidRPr="00A277FF">
        <w:t>5</w:t>
      </w:r>
      <w:r>
        <w:t xml:space="preserve"> (</w:t>
      </w:r>
      <w:r w:rsidR="00A277FF">
        <w:t>quinze</w:t>
      </w:r>
      <w:r>
        <w:t>) dias</w:t>
      </w:r>
      <w:r w:rsidRPr="00A34164">
        <w:t>, c</w:t>
      </w:r>
      <w:r>
        <w:t xml:space="preserve">ontados da data </w:t>
      </w:r>
      <w:r w:rsidR="006418C2">
        <w:t>de convocação</w:t>
      </w:r>
      <w:r w:rsidR="000B1E10">
        <w:t xml:space="preserve"> do Pregoeiro</w:t>
      </w:r>
      <w:r w:rsidR="006418C2">
        <w:t>,</w:t>
      </w:r>
      <w:r>
        <w:t xml:space="preserve"> </w:t>
      </w:r>
      <w:r w:rsidRPr="00A34164">
        <w:t xml:space="preserve">a </w:t>
      </w:r>
      <w:r>
        <w:t>“P</w:t>
      </w:r>
      <w:r w:rsidRPr="00A34164">
        <w:t xml:space="preserve">rova de </w:t>
      </w:r>
      <w:r>
        <w:t>C</w:t>
      </w:r>
      <w:r w:rsidRPr="00A34164">
        <w:t>onceito</w:t>
      </w:r>
      <w:r>
        <w:t>”</w:t>
      </w:r>
      <w:r w:rsidRPr="00A34164">
        <w:t>, visando à realização dos testes descritos na tabela abaixo</w:t>
      </w:r>
      <w:r>
        <w:t xml:space="preserve">, necessários à homologação do sistema </w:t>
      </w:r>
      <w:r w:rsidR="00A277FF" w:rsidRPr="00A277FF">
        <w:t>SGPP</w:t>
      </w:r>
      <w:r>
        <w:t xml:space="preserve">. </w:t>
      </w:r>
    </w:p>
    <w:p w:rsidR="00322C6B" w:rsidRPr="00A34164" w:rsidRDefault="00322C6B" w:rsidP="00322C6B">
      <w:pPr>
        <w:ind w:left="17"/>
        <w:jc w:val="both"/>
      </w:pPr>
      <w:r>
        <w:t>Será aprovado nessa “Prova de C</w:t>
      </w:r>
      <w:r w:rsidRPr="00A34164">
        <w:t>onceito</w:t>
      </w:r>
      <w:r>
        <w:t>”</w:t>
      </w:r>
      <w:r w:rsidRPr="00A34164">
        <w:t xml:space="preserve"> o licitante </w:t>
      </w:r>
      <w:r>
        <w:t xml:space="preserve">cujo sistema (s) atender a execução de todas as funcionalidades descritas na </w:t>
      </w:r>
      <w:r w:rsidRPr="000E42FC">
        <w:rPr>
          <w:b/>
        </w:rPr>
        <w:t>Tabela</w:t>
      </w:r>
      <w:r>
        <w:t xml:space="preserve"> – </w:t>
      </w:r>
      <w:r w:rsidR="00C7692D" w:rsidRPr="00BB665F">
        <w:rPr>
          <w:b/>
        </w:rPr>
        <w:t>Requisitos Funcionais Gerais</w:t>
      </w:r>
      <w:r>
        <w:t>.</w:t>
      </w:r>
    </w:p>
    <w:p w:rsidR="00322C6B" w:rsidRPr="0064212C" w:rsidRDefault="00322C6B" w:rsidP="00322C6B">
      <w:pPr>
        <w:spacing w:after="28"/>
        <w:jc w:val="center"/>
        <w:rPr>
          <w:b/>
        </w:rPr>
      </w:pPr>
    </w:p>
    <w:tbl>
      <w:tblPr>
        <w:tblStyle w:val="TableGrid"/>
        <w:tblW w:w="10060" w:type="dxa"/>
        <w:jc w:val="center"/>
        <w:tblInd w:w="0" w:type="dxa"/>
        <w:tblCellMar>
          <w:top w:w="45" w:type="dxa"/>
          <w:left w:w="104" w:type="dxa"/>
          <w:right w:w="96" w:type="dxa"/>
        </w:tblCellMar>
        <w:tblLook w:val="04A0" w:firstRow="1" w:lastRow="0" w:firstColumn="1" w:lastColumn="0" w:noHBand="0" w:noVBand="1"/>
      </w:tblPr>
      <w:tblGrid>
        <w:gridCol w:w="7993"/>
        <w:gridCol w:w="1074"/>
        <w:gridCol w:w="993"/>
      </w:tblGrid>
      <w:tr w:rsidR="00322C6B" w:rsidRPr="00AA7071" w:rsidTr="00EB26CA">
        <w:trPr>
          <w:trHeight w:val="278"/>
          <w:jc w:val="center"/>
        </w:trPr>
        <w:tc>
          <w:tcPr>
            <w:tcW w:w="100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:rsidR="00322C6B" w:rsidRPr="00AA7071" w:rsidRDefault="00322C6B" w:rsidP="000B1E10">
            <w:pPr>
              <w:spacing w:after="160" w:line="259" w:lineRule="auto"/>
              <w:jc w:val="center"/>
              <w:rPr>
                <w:b/>
              </w:rPr>
            </w:pPr>
            <w:r w:rsidRPr="0064212C">
              <w:rPr>
                <w:b/>
              </w:rPr>
              <w:t xml:space="preserve">TABELA </w:t>
            </w:r>
            <w:r>
              <w:rPr>
                <w:b/>
              </w:rPr>
              <w:t xml:space="preserve">– </w:t>
            </w:r>
            <w:r w:rsidRPr="00AA7071">
              <w:rPr>
                <w:b/>
              </w:rPr>
              <w:t>Requisitos Funcionais Gerais</w:t>
            </w:r>
          </w:p>
        </w:tc>
      </w:tr>
      <w:tr w:rsidR="00322C6B" w:rsidRPr="00AA7071" w:rsidTr="00EB26CA">
        <w:trPr>
          <w:trHeight w:val="760"/>
          <w:jc w:val="center"/>
        </w:trPr>
        <w:tc>
          <w:tcPr>
            <w:tcW w:w="7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2C6B" w:rsidRPr="00BB665F" w:rsidRDefault="00322C6B" w:rsidP="00EB26CA">
            <w:pPr>
              <w:spacing w:line="259" w:lineRule="auto"/>
              <w:rPr>
                <w:b/>
              </w:rPr>
            </w:pPr>
            <w:r w:rsidRPr="00BB665F">
              <w:rPr>
                <w:b/>
              </w:rPr>
              <w:t xml:space="preserve">Descrição de como atender às funcionalidades no momento da homologação 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2C6B" w:rsidRPr="00BB665F" w:rsidRDefault="00322C6B" w:rsidP="00EB26CA">
            <w:pPr>
              <w:spacing w:line="259" w:lineRule="auto"/>
              <w:ind w:left="40"/>
              <w:rPr>
                <w:b/>
              </w:rPr>
            </w:pPr>
            <w:r w:rsidRPr="00BB665F">
              <w:rPr>
                <w:b/>
              </w:rPr>
              <w:t xml:space="preserve">Atende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2C6B" w:rsidRPr="00BB665F" w:rsidRDefault="00322C6B" w:rsidP="00EB26CA">
            <w:pPr>
              <w:spacing w:line="259" w:lineRule="auto"/>
              <w:jc w:val="center"/>
              <w:rPr>
                <w:b/>
              </w:rPr>
            </w:pPr>
            <w:r w:rsidRPr="00BB665F">
              <w:rPr>
                <w:b/>
              </w:rPr>
              <w:t xml:space="preserve">Não Atende </w:t>
            </w:r>
          </w:p>
        </w:tc>
      </w:tr>
      <w:tr w:rsidR="00322C6B" w:rsidRPr="00A34164" w:rsidTr="00EB26CA">
        <w:trPr>
          <w:trHeight w:val="499"/>
          <w:jc w:val="center"/>
        </w:trPr>
        <w:tc>
          <w:tcPr>
            <w:tcW w:w="7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92D" w:rsidRPr="004A33C6" w:rsidRDefault="00C7692D" w:rsidP="00C7692D">
            <w:pPr>
              <w:spacing w:after="120" w:line="228" w:lineRule="auto"/>
              <w:ind w:left="357"/>
              <w:contextualSpacing/>
              <w:jc w:val="both"/>
            </w:pPr>
            <w:r w:rsidRPr="004A33C6">
              <w:t>1. Executar a solução da Prova de conceito para os Casos de Uso:</w:t>
            </w:r>
          </w:p>
          <w:p w:rsidR="00C7692D" w:rsidRPr="004A33C6" w:rsidRDefault="00C7692D" w:rsidP="00C7692D">
            <w:pPr>
              <w:spacing w:after="120" w:line="228" w:lineRule="auto"/>
              <w:ind w:left="357"/>
              <w:contextualSpacing/>
              <w:jc w:val="both"/>
            </w:pPr>
          </w:p>
          <w:p w:rsidR="00C7692D" w:rsidRPr="004A33C6" w:rsidRDefault="00C7692D" w:rsidP="00C7692D">
            <w:pPr>
              <w:spacing w:after="120" w:line="228" w:lineRule="auto"/>
              <w:ind w:left="708"/>
              <w:contextualSpacing/>
              <w:jc w:val="both"/>
            </w:pPr>
            <w:r w:rsidRPr="004A33C6">
              <w:t xml:space="preserve">PC-2.1.01-Incluir_documentos_na_ferramenta      e </w:t>
            </w:r>
          </w:p>
          <w:p w:rsidR="00C7692D" w:rsidRPr="004A33C6" w:rsidRDefault="00C7692D" w:rsidP="00C7692D">
            <w:pPr>
              <w:spacing w:after="120" w:line="228" w:lineRule="auto"/>
              <w:ind w:left="708"/>
              <w:contextualSpacing/>
              <w:jc w:val="both"/>
            </w:pPr>
            <w:r w:rsidRPr="004A33C6">
              <w:t xml:space="preserve">PC-2.1.02-Incluir_dados_de_produção_na_ferramenta </w:t>
            </w:r>
          </w:p>
          <w:p w:rsidR="00C7692D" w:rsidRPr="004A33C6" w:rsidRDefault="00C7692D" w:rsidP="00C7692D">
            <w:pPr>
              <w:pStyle w:val="PargrafodaLista"/>
              <w:spacing w:after="120" w:line="228" w:lineRule="auto"/>
              <w:ind w:left="714"/>
              <w:contextualSpacing/>
              <w:jc w:val="both"/>
              <w:rPr>
                <w:rFonts w:asciiTheme="minorHAnsi" w:hAnsiTheme="minorHAnsi" w:cstheme="minorBidi"/>
              </w:rPr>
            </w:pPr>
          </w:p>
          <w:p w:rsidR="00322C6B" w:rsidRPr="004A33C6" w:rsidRDefault="00C7692D" w:rsidP="00C7692D">
            <w:pPr>
              <w:pStyle w:val="PargrafodaLista"/>
              <w:spacing w:after="120" w:line="228" w:lineRule="auto"/>
              <w:ind w:left="714"/>
              <w:contextualSpacing/>
              <w:jc w:val="both"/>
              <w:rPr>
                <w:rFonts w:asciiTheme="minorHAnsi" w:hAnsiTheme="minorHAnsi" w:cstheme="minorBidi"/>
              </w:rPr>
            </w:pPr>
            <w:r w:rsidRPr="004A33C6">
              <w:rPr>
                <w:rFonts w:asciiTheme="minorHAnsi" w:hAnsiTheme="minorHAnsi" w:cstheme="minorBidi"/>
              </w:rPr>
              <w:t>Utilizando a Massa de Dados de Teste: [Teste 1]</w:t>
            </w:r>
            <w:r w:rsidR="00322C6B" w:rsidRPr="004A33C6">
              <w:rPr>
                <w:rFonts w:asciiTheme="minorHAnsi" w:hAnsiTheme="minorHAnsi" w:cstheme="minorBidi"/>
              </w:rPr>
              <w:t>;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C6B" w:rsidRPr="00322C6B" w:rsidRDefault="00322C6B" w:rsidP="00EB26CA">
            <w:pPr>
              <w:spacing w:line="259" w:lineRule="auto"/>
              <w:ind w:left="4"/>
              <w:rPr>
                <w:highlight w:val="yellow"/>
              </w:rPr>
            </w:pPr>
            <w:r w:rsidRPr="00322C6B">
              <w:rPr>
                <w:highlight w:val="yellow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C6B" w:rsidRPr="00322C6B" w:rsidRDefault="00322C6B" w:rsidP="00EB26CA">
            <w:pPr>
              <w:spacing w:line="259" w:lineRule="auto"/>
              <w:ind w:left="1"/>
              <w:rPr>
                <w:highlight w:val="yellow"/>
              </w:rPr>
            </w:pPr>
            <w:r w:rsidRPr="00322C6B">
              <w:rPr>
                <w:highlight w:val="yellow"/>
              </w:rPr>
              <w:t xml:space="preserve"> </w:t>
            </w:r>
          </w:p>
        </w:tc>
      </w:tr>
      <w:tr w:rsidR="00322C6B" w:rsidRPr="00A34164" w:rsidTr="00EB26CA">
        <w:trPr>
          <w:trHeight w:val="394"/>
          <w:jc w:val="center"/>
        </w:trPr>
        <w:tc>
          <w:tcPr>
            <w:tcW w:w="7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92D" w:rsidRPr="004A33C6" w:rsidRDefault="00C7692D" w:rsidP="00C7692D">
            <w:pPr>
              <w:spacing w:after="120" w:line="228" w:lineRule="auto"/>
              <w:ind w:left="357"/>
              <w:contextualSpacing/>
              <w:jc w:val="both"/>
            </w:pPr>
            <w:r w:rsidRPr="004A33C6">
              <w:t>2. Executar a solução da Prova de conceito para os Casos de Uso:</w:t>
            </w:r>
          </w:p>
          <w:p w:rsidR="00C7692D" w:rsidRPr="004A33C6" w:rsidRDefault="00C7692D" w:rsidP="00C7692D">
            <w:pPr>
              <w:pStyle w:val="PargrafodaLista"/>
              <w:spacing w:after="120" w:line="228" w:lineRule="auto"/>
              <w:ind w:left="708"/>
              <w:contextualSpacing/>
              <w:jc w:val="both"/>
              <w:rPr>
                <w:rFonts w:asciiTheme="minorHAnsi" w:hAnsiTheme="minorHAnsi" w:cstheme="minorBidi"/>
              </w:rPr>
            </w:pPr>
            <w:r w:rsidRPr="004A33C6">
              <w:rPr>
                <w:rFonts w:asciiTheme="minorHAnsi" w:hAnsiTheme="minorHAnsi" w:cstheme="minorBidi"/>
              </w:rPr>
              <w:t>PC-2.1.01-Incluir_documentos_na_</w:t>
            </w:r>
            <w:r w:rsidR="0081661A" w:rsidRPr="004A33C6">
              <w:rPr>
                <w:rFonts w:asciiTheme="minorHAnsi" w:hAnsiTheme="minorHAnsi" w:cstheme="minorBidi"/>
              </w:rPr>
              <w:t>ferramenta e</w:t>
            </w:r>
            <w:r w:rsidRPr="004A33C6">
              <w:rPr>
                <w:rFonts w:asciiTheme="minorHAnsi" w:hAnsiTheme="minorHAnsi" w:cstheme="minorBidi"/>
              </w:rPr>
              <w:t xml:space="preserve"> </w:t>
            </w:r>
          </w:p>
          <w:p w:rsidR="00C7692D" w:rsidRPr="004A33C6" w:rsidRDefault="00C7692D" w:rsidP="00C7692D">
            <w:pPr>
              <w:pStyle w:val="PargrafodaLista"/>
              <w:spacing w:after="120" w:line="228" w:lineRule="auto"/>
              <w:ind w:left="708"/>
              <w:contextualSpacing/>
              <w:jc w:val="both"/>
              <w:rPr>
                <w:rFonts w:asciiTheme="minorHAnsi" w:hAnsiTheme="minorHAnsi" w:cstheme="minorBidi"/>
              </w:rPr>
            </w:pPr>
            <w:r w:rsidRPr="004A33C6">
              <w:rPr>
                <w:rFonts w:asciiTheme="minorHAnsi" w:hAnsiTheme="minorHAnsi" w:cstheme="minorBidi"/>
              </w:rPr>
              <w:t xml:space="preserve">PC-2.1.02-Incluir_dados_de_produção_na_ferramenta </w:t>
            </w:r>
          </w:p>
          <w:p w:rsidR="00C7692D" w:rsidRPr="004A33C6" w:rsidRDefault="00C7692D" w:rsidP="00C7692D">
            <w:pPr>
              <w:pStyle w:val="PargrafodaLista"/>
              <w:spacing w:after="120" w:line="228" w:lineRule="auto"/>
              <w:ind w:left="708"/>
              <w:contextualSpacing/>
              <w:jc w:val="both"/>
              <w:rPr>
                <w:rFonts w:asciiTheme="minorHAnsi" w:hAnsiTheme="minorHAnsi" w:cstheme="minorBidi"/>
              </w:rPr>
            </w:pPr>
          </w:p>
          <w:p w:rsidR="00322C6B" w:rsidRPr="004A33C6" w:rsidRDefault="00C7692D" w:rsidP="00C7692D">
            <w:pPr>
              <w:spacing w:after="120" w:line="228" w:lineRule="auto"/>
              <w:ind w:left="708"/>
              <w:contextualSpacing/>
              <w:jc w:val="both"/>
            </w:pPr>
            <w:r w:rsidRPr="004A33C6">
              <w:t>Utilizando a Massa de Dados de Teste: [Teste 2];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C6B" w:rsidRPr="00322C6B" w:rsidRDefault="00322C6B" w:rsidP="00EB26CA">
            <w:pPr>
              <w:spacing w:line="259" w:lineRule="auto"/>
              <w:ind w:left="4"/>
              <w:rPr>
                <w:highlight w:val="yellow"/>
              </w:rPr>
            </w:pPr>
            <w:r w:rsidRPr="00322C6B">
              <w:rPr>
                <w:highlight w:val="yellow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C6B" w:rsidRPr="00322C6B" w:rsidRDefault="00322C6B" w:rsidP="00EB26CA">
            <w:pPr>
              <w:spacing w:line="259" w:lineRule="auto"/>
              <w:ind w:left="1"/>
              <w:rPr>
                <w:highlight w:val="yellow"/>
              </w:rPr>
            </w:pPr>
            <w:r w:rsidRPr="00322C6B">
              <w:rPr>
                <w:highlight w:val="yellow"/>
              </w:rPr>
              <w:t xml:space="preserve"> </w:t>
            </w:r>
          </w:p>
        </w:tc>
      </w:tr>
      <w:tr w:rsidR="00C7692D" w:rsidRPr="00A34164" w:rsidTr="00FA11DA">
        <w:trPr>
          <w:trHeight w:val="499"/>
          <w:jc w:val="center"/>
        </w:trPr>
        <w:tc>
          <w:tcPr>
            <w:tcW w:w="7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92D" w:rsidRPr="004A33C6" w:rsidRDefault="00C7692D" w:rsidP="00C7692D">
            <w:pPr>
              <w:spacing w:after="120" w:line="228" w:lineRule="auto"/>
              <w:ind w:left="357"/>
              <w:contextualSpacing/>
              <w:jc w:val="both"/>
            </w:pPr>
            <w:r w:rsidRPr="004A33C6">
              <w:t>3. Executar a solução da Prova de conceito para os Casos de Uso:</w:t>
            </w:r>
          </w:p>
          <w:p w:rsidR="00C7692D" w:rsidRPr="004A33C6" w:rsidRDefault="00C7692D" w:rsidP="00C7692D">
            <w:pPr>
              <w:pStyle w:val="PargrafodaLista"/>
              <w:spacing w:after="120" w:line="228" w:lineRule="auto"/>
              <w:ind w:left="708"/>
              <w:contextualSpacing/>
              <w:jc w:val="both"/>
              <w:rPr>
                <w:rFonts w:asciiTheme="minorHAnsi" w:hAnsiTheme="minorHAnsi" w:cstheme="minorBidi"/>
              </w:rPr>
            </w:pPr>
            <w:r w:rsidRPr="004A33C6">
              <w:rPr>
                <w:rFonts w:asciiTheme="minorHAnsi" w:hAnsiTheme="minorHAnsi" w:cstheme="minorBidi"/>
              </w:rPr>
              <w:t>PC-2.1.01-Incluir_documentos_na_</w:t>
            </w:r>
            <w:r w:rsidR="0081661A" w:rsidRPr="004A33C6">
              <w:rPr>
                <w:rFonts w:asciiTheme="minorHAnsi" w:hAnsiTheme="minorHAnsi" w:cstheme="minorBidi"/>
              </w:rPr>
              <w:t>ferramenta e</w:t>
            </w:r>
            <w:r w:rsidRPr="004A33C6">
              <w:rPr>
                <w:rFonts w:asciiTheme="minorHAnsi" w:hAnsiTheme="minorHAnsi" w:cstheme="minorBidi"/>
              </w:rPr>
              <w:t xml:space="preserve"> </w:t>
            </w:r>
          </w:p>
          <w:p w:rsidR="00C7692D" w:rsidRPr="004A33C6" w:rsidRDefault="00C7692D" w:rsidP="00C7692D">
            <w:pPr>
              <w:pStyle w:val="PargrafodaLista"/>
              <w:spacing w:after="120" w:line="228" w:lineRule="auto"/>
              <w:ind w:left="708"/>
              <w:contextualSpacing/>
              <w:jc w:val="both"/>
              <w:rPr>
                <w:rFonts w:asciiTheme="minorHAnsi" w:hAnsiTheme="minorHAnsi" w:cstheme="minorBidi"/>
              </w:rPr>
            </w:pPr>
            <w:r w:rsidRPr="004A33C6">
              <w:rPr>
                <w:rFonts w:asciiTheme="minorHAnsi" w:hAnsiTheme="minorHAnsi" w:cstheme="minorBidi"/>
              </w:rPr>
              <w:t xml:space="preserve">PC-2.1.02-Incluir_dados_de_produção_na_ferramenta </w:t>
            </w:r>
          </w:p>
          <w:p w:rsidR="00C7692D" w:rsidRPr="004A33C6" w:rsidRDefault="00C7692D" w:rsidP="00C7692D">
            <w:pPr>
              <w:pStyle w:val="PargrafodaLista"/>
              <w:spacing w:after="120" w:line="228" w:lineRule="auto"/>
              <w:ind w:left="708"/>
              <w:contextualSpacing/>
              <w:jc w:val="both"/>
              <w:rPr>
                <w:rFonts w:asciiTheme="minorHAnsi" w:hAnsiTheme="minorHAnsi" w:cstheme="minorBidi"/>
              </w:rPr>
            </w:pPr>
          </w:p>
          <w:p w:rsidR="00C7692D" w:rsidRPr="004A33C6" w:rsidRDefault="00C7692D" w:rsidP="00C7692D">
            <w:pPr>
              <w:spacing w:after="120" w:line="228" w:lineRule="auto"/>
              <w:ind w:left="708"/>
              <w:contextualSpacing/>
              <w:jc w:val="both"/>
            </w:pPr>
            <w:r w:rsidRPr="004A33C6">
              <w:t xml:space="preserve">Utilizando a Massa de Dados de Teste: [Teste </w:t>
            </w:r>
            <w:r w:rsidR="004253F1" w:rsidRPr="004A33C6">
              <w:t>3</w:t>
            </w:r>
            <w:r w:rsidRPr="004A33C6">
              <w:t>];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692D" w:rsidRPr="00322C6B" w:rsidRDefault="00C7692D" w:rsidP="00C7692D">
            <w:pPr>
              <w:spacing w:line="259" w:lineRule="auto"/>
              <w:ind w:left="4"/>
              <w:rPr>
                <w:highlight w:val="yellow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692D" w:rsidRPr="00322C6B" w:rsidRDefault="00C7692D" w:rsidP="00C7692D">
            <w:pPr>
              <w:spacing w:line="259" w:lineRule="auto"/>
              <w:ind w:left="1"/>
              <w:rPr>
                <w:highlight w:val="yellow"/>
              </w:rPr>
            </w:pPr>
          </w:p>
        </w:tc>
      </w:tr>
    </w:tbl>
    <w:p w:rsidR="00322C6B" w:rsidRDefault="00322C6B" w:rsidP="00322C6B">
      <w:pPr>
        <w:spacing w:after="203" w:line="259" w:lineRule="auto"/>
      </w:pPr>
    </w:p>
    <w:p w:rsidR="0054741E" w:rsidRPr="004A33C6" w:rsidRDefault="0054741E" w:rsidP="0054741E">
      <w:pPr>
        <w:spacing w:after="203" w:line="259" w:lineRule="auto"/>
        <w:ind w:left="360"/>
        <w:jc w:val="both"/>
      </w:pPr>
      <w:r w:rsidRPr="004A33C6">
        <w:rPr>
          <w:u w:val="single"/>
        </w:rPr>
        <w:t>Observações</w:t>
      </w:r>
      <w:r w:rsidRPr="004A33C6">
        <w:t xml:space="preserve">: </w:t>
      </w:r>
    </w:p>
    <w:p w:rsidR="00544EF5" w:rsidRPr="004A33C6" w:rsidRDefault="00544EF5" w:rsidP="0054741E">
      <w:pPr>
        <w:pStyle w:val="PargrafodaLista"/>
        <w:numPr>
          <w:ilvl w:val="0"/>
          <w:numId w:val="3"/>
        </w:numPr>
        <w:spacing w:after="203" w:line="259" w:lineRule="auto"/>
        <w:jc w:val="both"/>
      </w:pPr>
      <w:r w:rsidRPr="004A33C6">
        <w:t xml:space="preserve">Os Casos de Uso que representam as funcionalidades listadas </w:t>
      </w:r>
      <w:r w:rsidR="00A84D8D" w:rsidRPr="004A33C6">
        <w:t xml:space="preserve">acima </w:t>
      </w:r>
      <w:r w:rsidRPr="004A33C6">
        <w:t xml:space="preserve">podem ser consultados nos seguintes arquivos </w:t>
      </w:r>
      <w:r w:rsidR="00CD533C" w:rsidRPr="004A33C6">
        <w:t xml:space="preserve">ou documentos </w:t>
      </w:r>
      <w:r w:rsidRPr="004A33C6">
        <w:t>anexos:</w:t>
      </w:r>
    </w:p>
    <w:p w:rsidR="00544EF5" w:rsidRPr="004A33C6" w:rsidRDefault="00544EF5" w:rsidP="00544EF5">
      <w:pPr>
        <w:pStyle w:val="PargrafodaLista"/>
        <w:numPr>
          <w:ilvl w:val="1"/>
          <w:numId w:val="3"/>
        </w:numPr>
        <w:spacing w:after="203" w:line="259" w:lineRule="auto"/>
        <w:jc w:val="both"/>
      </w:pPr>
      <w:r w:rsidRPr="004A33C6">
        <w:t xml:space="preserve">Diagrama de Casos de Uso: </w:t>
      </w:r>
      <w:r w:rsidR="00CD533C" w:rsidRPr="004A33C6">
        <w:t xml:space="preserve">anexo </w:t>
      </w:r>
      <w:r w:rsidR="0011668D" w:rsidRPr="004A33C6">
        <w:t>5.1</w:t>
      </w:r>
      <w:r w:rsidR="00CD533C" w:rsidRPr="004A33C6">
        <w:t xml:space="preserve"> deste documento</w:t>
      </w:r>
      <w:r w:rsidR="004C29A1" w:rsidRPr="004A33C6">
        <w:t>.</w:t>
      </w:r>
    </w:p>
    <w:p w:rsidR="00544EF5" w:rsidRPr="004A33C6" w:rsidRDefault="00544EF5" w:rsidP="00544EF5">
      <w:pPr>
        <w:pStyle w:val="PargrafodaLista"/>
        <w:numPr>
          <w:ilvl w:val="1"/>
          <w:numId w:val="3"/>
        </w:numPr>
        <w:spacing w:after="203" w:line="259" w:lineRule="auto"/>
        <w:jc w:val="both"/>
      </w:pPr>
      <w:r w:rsidRPr="004A33C6">
        <w:t>Descrições dos Casos de Uso, em arquivos Excel:</w:t>
      </w:r>
    </w:p>
    <w:p w:rsidR="00544EF5" w:rsidRPr="004A33C6" w:rsidRDefault="001D7603" w:rsidP="00365748">
      <w:pPr>
        <w:pStyle w:val="PargrafodaLista"/>
        <w:numPr>
          <w:ilvl w:val="0"/>
          <w:numId w:val="4"/>
        </w:numPr>
        <w:spacing w:after="203" w:line="259" w:lineRule="auto"/>
      </w:pPr>
      <w:r w:rsidRPr="004A33C6">
        <w:t>[</w:t>
      </w:r>
      <w:r w:rsidR="00365748" w:rsidRPr="004A33C6">
        <w:t>PC-2.1.01-Incluir_d</w:t>
      </w:r>
      <w:r w:rsidR="0081661A">
        <w:t>ocumentos_na_ferramenta</w:t>
      </w:r>
      <w:r w:rsidRPr="004A33C6">
        <w:t>]</w:t>
      </w:r>
    </w:p>
    <w:p w:rsidR="00365748" w:rsidRPr="004A33C6" w:rsidRDefault="001D7603" w:rsidP="00365748">
      <w:pPr>
        <w:pStyle w:val="PargrafodaLista"/>
        <w:numPr>
          <w:ilvl w:val="0"/>
          <w:numId w:val="4"/>
        </w:numPr>
        <w:spacing w:after="203" w:line="259" w:lineRule="auto"/>
      </w:pPr>
      <w:r w:rsidRPr="004A33C6">
        <w:t>[</w:t>
      </w:r>
      <w:r w:rsidR="00365748" w:rsidRPr="004A33C6">
        <w:t>PC-2.1.02-Incluir_dados_de</w:t>
      </w:r>
      <w:r w:rsidR="0081661A">
        <w:t>_produção_na_ferramenta</w:t>
      </w:r>
      <w:r w:rsidRPr="004A33C6">
        <w:t>]</w:t>
      </w:r>
    </w:p>
    <w:p w:rsidR="00AD6C54" w:rsidRPr="004A33C6" w:rsidRDefault="00AD6C54" w:rsidP="001851D7">
      <w:pPr>
        <w:pStyle w:val="PargrafodaLista"/>
        <w:numPr>
          <w:ilvl w:val="1"/>
          <w:numId w:val="3"/>
        </w:numPr>
        <w:spacing w:after="203" w:line="259" w:lineRule="auto"/>
        <w:jc w:val="both"/>
      </w:pPr>
      <w:r w:rsidRPr="004A33C6">
        <w:lastRenderedPageBreak/>
        <w:t xml:space="preserve">Regras de Cálculos Parametrizáveis referenciadas no Fluxo Alternativo (FA01) no Caso de Uso </w:t>
      </w:r>
      <w:r w:rsidR="001851D7" w:rsidRPr="004A33C6">
        <w:t>[PC-2.1.02-Incluir_dados_d</w:t>
      </w:r>
      <w:r w:rsidR="0081661A">
        <w:t>e_produção_na_ferramenta</w:t>
      </w:r>
      <w:r w:rsidR="001851D7" w:rsidRPr="004A33C6">
        <w:t>]</w:t>
      </w:r>
      <w:r w:rsidR="001D7603" w:rsidRPr="004A33C6">
        <w:t xml:space="preserve"> podem ser consultados no </w:t>
      </w:r>
      <w:r w:rsidR="00A6265B" w:rsidRPr="004A33C6">
        <w:t xml:space="preserve">anexo </w:t>
      </w:r>
      <w:r w:rsidR="0011668D" w:rsidRPr="004A33C6">
        <w:t>5.2</w:t>
      </w:r>
      <w:r w:rsidR="00A6265B" w:rsidRPr="004A33C6">
        <w:t xml:space="preserve"> deste documento</w:t>
      </w:r>
      <w:r w:rsidR="004C29A1" w:rsidRPr="004A33C6">
        <w:t>.</w:t>
      </w:r>
    </w:p>
    <w:p w:rsidR="00C420D9" w:rsidRPr="004A33C6" w:rsidRDefault="00C420D9" w:rsidP="00C420D9">
      <w:pPr>
        <w:spacing w:after="203" w:line="259" w:lineRule="auto"/>
      </w:pPr>
    </w:p>
    <w:p w:rsidR="005B03F1" w:rsidRPr="004A33C6" w:rsidRDefault="0054741E" w:rsidP="007F680E">
      <w:pPr>
        <w:pStyle w:val="PargrafodaLista"/>
        <w:numPr>
          <w:ilvl w:val="0"/>
          <w:numId w:val="3"/>
        </w:numPr>
        <w:spacing w:after="203" w:line="259" w:lineRule="auto"/>
        <w:jc w:val="both"/>
      </w:pPr>
      <w:r w:rsidRPr="004A33C6">
        <w:t xml:space="preserve">Os esboços de telas referenciados nas funcionalidades listadas acima podem ser consultados no </w:t>
      </w:r>
      <w:r w:rsidR="004C29A1" w:rsidRPr="004A33C6">
        <w:t xml:space="preserve">anexo </w:t>
      </w:r>
      <w:r w:rsidR="0011668D" w:rsidRPr="004A33C6">
        <w:t>5.3</w:t>
      </w:r>
      <w:r w:rsidR="004C29A1" w:rsidRPr="004A33C6">
        <w:t xml:space="preserve"> deste documento.</w:t>
      </w:r>
      <w:r w:rsidRPr="004A33C6">
        <w:t xml:space="preserve"> </w:t>
      </w:r>
    </w:p>
    <w:p w:rsidR="0054741E" w:rsidRPr="004A33C6" w:rsidRDefault="0054741E" w:rsidP="0011668D">
      <w:pPr>
        <w:spacing w:after="203" w:line="259" w:lineRule="auto"/>
        <w:jc w:val="both"/>
        <w:rPr>
          <w:highlight w:val="yellow"/>
        </w:rPr>
      </w:pPr>
    </w:p>
    <w:p w:rsidR="00C53A3C" w:rsidRPr="004A33C6" w:rsidRDefault="0054741E" w:rsidP="0054741E">
      <w:pPr>
        <w:pStyle w:val="PargrafodaLista"/>
        <w:numPr>
          <w:ilvl w:val="0"/>
          <w:numId w:val="3"/>
        </w:numPr>
        <w:spacing w:after="203" w:line="259" w:lineRule="auto"/>
        <w:jc w:val="both"/>
      </w:pPr>
      <w:r w:rsidRPr="004A33C6">
        <w:t>Os relacionamentos entre as Classes, da Base de Dados que suportar</w:t>
      </w:r>
      <w:r w:rsidR="00C53A3C" w:rsidRPr="004A33C6">
        <w:t>á</w:t>
      </w:r>
      <w:r w:rsidRPr="004A33C6">
        <w:t xml:space="preserve"> as funcionalidades listadas acima, podem ser consultados no </w:t>
      </w:r>
      <w:r w:rsidR="00DE440E" w:rsidRPr="004A33C6">
        <w:t xml:space="preserve">anexo 5.4 deste documento. </w:t>
      </w:r>
    </w:p>
    <w:p w:rsidR="0054741E" w:rsidRPr="004A33C6" w:rsidRDefault="0054741E" w:rsidP="00760C72">
      <w:pPr>
        <w:spacing w:after="203" w:line="259" w:lineRule="auto"/>
        <w:jc w:val="both"/>
        <w:rPr>
          <w:highlight w:val="yellow"/>
        </w:rPr>
      </w:pPr>
    </w:p>
    <w:p w:rsidR="000B0B42" w:rsidRPr="004A33C6" w:rsidRDefault="0054741E" w:rsidP="0054741E">
      <w:pPr>
        <w:pStyle w:val="PargrafodaLista"/>
        <w:numPr>
          <w:ilvl w:val="0"/>
          <w:numId w:val="3"/>
        </w:numPr>
        <w:spacing w:after="203" w:line="259" w:lineRule="auto"/>
        <w:jc w:val="both"/>
      </w:pPr>
      <w:r w:rsidRPr="004A33C6">
        <w:t xml:space="preserve">Os atributos de cada Classe, da Base de Dados que suportará as funcionalidades listadas acima, podem ser consultados no arquivo Excel anexo: </w:t>
      </w:r>
    </w:p>
    <w:p w:rsidR="0054741E" w:rsidRPr="004A33C6" w:rsidRDefault="0054741E" w:rsidP="000B0B42">
      <w:pPr>
        <w:pStyle w:val="PargrafodaLista"/>
        <w:numPr>
          <w:ilvl w:val="1"/>
          <w:numId w:val="3"/>
        </w:numPr>
        <w:spacing w:after="203" w:line="259" w:lineRule="auto"/>
        <w:jc w:val="both"/>
      </w:pPr>
      <w:r w:rsidRPr="004A33C6">
        <w:t>[</w:t>
      </w:r>
      <w:r w:rsidR="000B0B42" w:rsidRPr="004A33C6">
        <w:t xml:space="preserve">DER-2.1-Monitoramento </w:t>
      </w:r>
      <w:r w:rsidR="0081661A">
        <w:t>da Produção - Atributos</w:t>
      </w:r>
      <w:r w:rsidRPr="004A33C6">
        <w:t>]</w:t>
      </w:r>
    </w:p>
    <w:p w:rsidR="0078241C" w:rsidRPr="004A33C6" w:rsidRDefault="00C7692D" w:rsidP="0054741E">
      <w:pPr>
        <w:pStyle w:val="PargrafodaLista"/>
        <w:numPr>
          <w:ilvl w:val="0"/>
          <w:numId w:val="3"/>
        </w:numPr>
        <w:spacing w:after="203" w:line="259" w:lineRule="auto"/>
        <w:jc w:val="both"/>
      </w:pPr>
      <w:r w:rsidRPr="004A33C6">
        <w:t>As Massas de Dados de Testes</w:t>
      </w:r>
      <w:r w:rsidR="004253F1" w:rsidRPr="004A33C6">
        <w:t>,</w:t>
      </w:r>
      <w:r w:rsidRPr="004A33C6">
        <w:t xml:space="preserve"> </w:t>
      </w:r>
      <w:r w:rsidR="00591884" w:rsidRPr="004A33C6">
        <w:t xml:space="preserve">para validação do atendimento da solução proposta, para </w:t>
      </w:r>
      <w:r w:rsidRPr="004A33C6">
        <w:t>as funcionalidades list</w:t>
      </w:r>
      <w:r w:rsidR="00653B31" w:rsidRPr="004A33C6">
        <w:t>adas acima, podem ser consultada</w:t>
      </w:r>
      <w:r w:rsidRPr="004A33C6">
        <w:t xml:space="preserve">s no arquivo Excel anexo: </w:t>
      </w:r>
    </w:p>
    <w:p w:rsidR="00C7692D" w:rsidRPr="004A33C6" w:rsidRDefault="00C7692D" w:rsidP="0078241C">
      <w:pPr>
        <w:pStyle w:val="PargrafodaLista"/>
        <w:numPr>
          <w:ilvl w:val="1"/>
          <w:numId w:val="3"/>
        </w:numPr>
        <w:spacing w:after="203" w:line="259" w:lineRule="auto"/>
        <w:jc w:val="both"/>
      </w:pPr>
      <w:r w:rsidRPr="004A33C6">
        <w:t>[</w:t>
      </w:r>
      <w:r w:rsidR="0078241C" w:rsidRPr="004A33C6">
        <w:t>TC-2.1.02-Incluir_dados_de_produção_na_ferramenta-M</w:t>
      </w:r>
      <w:r w:rsidR="0081661A">
        <w:t>assas de Dados de Testes</w:t>
      </w:r>
      <w:r w:rsidRPr="004A33C6">
        <w:t xml:space="preserve">] </w:t>
      </w:r>
    </w:p>
    <w:p w:rsidR="00322C6B" w:rsidRPr="00A34164" w:rsidRDefault="00322C6B" w:rsidP="00322C6B">
      <w:pPr>
        <w:spacing w:after="234"/>
      </w:pPr>
      <w:r w:rsidRPr="00A34164">
        <w:t>Para viabilizar o processo de avali</w:t>
      </w:r>
      <w:r>
        <w:t>ação técnica, caberá à Licitante</w:t>
      </w:r>
      <w:r w:rsidRPr="00A34164">
        <w:t xml:space="preserve">: </w:t>
      </w:r>
    </w:p>
    <w:p w:rsidR="00322C6B" w:rsidRPr="00A34164" w:rsidRDefault="00322C6B" w:rsidP="00322C6B">
      <w:pPr>
        <w:pStyle w:val="PargrafodaLista"/>
        <w:numPr>
          <w:ilvl w:val="0"/>
          <w:numId w:val="2"/>
        </w:numPr>
        <w:spacing w:after="237" w:line="229" w:lineRule="auto"/>
        <w:jc w:val="both"/>
      </w:pPr>
      <w:r w:rsidRPr="00A34164">
        <w:t>Arcar com todos os custos envolvido</w:t>
      </w:r>
      <w:r>
        <w:t>s com a implementação do software</w:t>
      </w:r>
      <w:r w:rsidRPr="00A34164">
        <w:t xml:space="preserve"> no ambiente da </w:t>
      </w:r>
      <w:r w:rsidR="00046A4A">
        <w:t>PPSA</w:t>
      </w:r>
      <w:r w:rsidR="006418C2">
        <w:t xml:space="preserve"> (nuvem)</w:t>
      </w:r>
      <w:r>
        <w:t>, conforme descrito abaixo;</w:t>
      </w:r>
    </w:p>
    <w:p w:rsidR="00322C6B" w:rsidRPr="00A34164" w:rsidRDefault="00322C6B" w:rsidP="00322C6B">
      <w:pPr>
        <w:pStyle w:val="PargrafodaLista"/>
        <w:numPr>
          <w:ilvl w:val="0"/>
          <w:numId w:val="2"/>
        </w:numPr>
        <w:spacing w:after="240" w:line="229" w:lineRule="auto"/>
        <w:jc w:val="both"/>
      </w:pPr>
      <w:r w:rsidRPr="00A34164">
        <w:t xml:space="preserve">Atender, de forma suficiente e tempestiva, às demandas da </w:t>
      </w:r>
      <w:r w:rsidR="00046A4A">
        <w:t>PPSA</w:t>
      </w:r>
      <w:r w:rsidRPr="00A34164">
        <w:t xml:space="preserve"> quanto aos serviços necessári</w:t>
      </w:r>
      <w:r>
        <w:t>os para demonstrar que o software</w:t>
      </w:r>
      <w:r w:rsidRPr="00A34164">
        <w:t xml:space="preserve"> atende as especificações estabelecidas</w:t>
      </w:r>
      <w:r>
        <w:t xml:space="preserve"> neste documento e seus anexos;</w:t>
      </w:r>
    </w:p>
    <w:p w:rsidR="00322C6B" w:rsidRDefault="00322C6B" w:rsidP="00322C6B">
      <w:pPr>
        <w:pStyle w:val="PargrafodaLista"/>
        <w:numPr>
          <w:ilvl w:val="0"/>
          <w:numId w:val="2"/>
        </w:numPr>
        <w:spacing w:after="240" w:line="229" w:lineRule="auto"/>
        <w:jc w:val="both"/>
      </w:pPr>
      <w:r w:rsidRPr="00A34164">
        <w:t>Disponibilizar profissionais para o acompanhamento do processo de avaliação conforme os prazos e condições</w:t>
      </w:r>
      <w:r>
        <w:t xml:space="preserve"> estabelecidos neste TR.</w:t>
      </w:r>
    </w:p>
    <w:p w:rsidR="00322C6B" w:rsidRDefault="00322C6B" w:rsidP="00322C6B">
      <w:pPr>
        <w:spacing w:after="0"/>
        <w:ind w:left="17"/>
        <w:jc w:val="both"/>
      </w:pPr>
      <w:r>
        <w:t>Caso seja constatado que a Licitante</w:t>
      </w:r>
      <w:r w:rsidRPr="00A34164">
        <w:t xml:space="preserve"> se habilitou com informações inve</w:t>
      </w:r>
      <w:r>
        <w:t xml:space="preserve">rídicas, este estará sujeito às </w:t>
      </w:r>
      <w:r w:rsidRPr="00A34164">
        <w:t>penalidades previstas no artigo 93 da Lei 8.666/1993, por perturbaç</w:t>
      </w:r>
      <w:r>
        <w:t>ão do procedimento licitatório.</w:t>
      </w:r>
    </w:p>
    <w:p w:rsidR="00322C6B" w:rsidRDefault="00322C6B" w:rsidP="00322C6B">
      <w:pPr>
        <w:spacing w:after="0" w:line="240" w:lineRule="auto"/>
        <w:ind w:left="17"/>
        <w:jc w:val="both"/>
      </w:pPr>
    </w:p>
    <w:p w:rsidR="00322C6B" w:rsidRDefault="00322C6B" w:rsidP="00322C6B">
      <w:pPr>
        <w:spacing w:after="237"/>
        <w:ind w:left="17"/>
        <w:jc w:val="both"/>
      </w:pPr>
      <w:r>
        <w:t>Ao final da Prova de C</w:t>
      </w:r>
      <w:r w:rsidRPr="00A34164">
        <w:t>onceito, caso a avaliação resulte em uma situação de insuficiênc</w:t>
      </w:r>
      <w:r>
        <w:t xml:space="preserve">ia, ou seja, o não atendimento de </w:t>
      </w:r>
      <w:r w:rsidR="006418C2">
        <w:t>TODOS</w:t>
      </w:r>
      <w:r w:rsidRPr="00A34164">
        <w:t xml:space="preserve"> os requisitos apresentados </w:t>
      </w:r>
      <w:r w:rsidR="006418C2">
        <w:t xml:space="preserve">na </w:t>
      </w:r>
      <w:r w:rsidR="006418C2" w:rsidRPr="0064212C">
        <w:rPr>
          <w:b/>
        </w:rPr>
        <w:t xml:space="preserve">TABELA </w:t>
      </w:r>
      <w:r w:rsidR="006418C2">
        <w:rPr>
          <w:b/>
        </w:rPr>
        <w:t xml:space="preserve">– </w:t>
      </w:r>
      <w:r w:rsidR="000E42FC" w:rsidRPr="004A33C6">
        <w:rPr>
          <w:b/>
        </w:rPr>
        <w:t>Requisitos Funcionais Gerais</w:t>
      </w:r>
      <w:r>
        <w:t>, a Licitante</w:t>
      </w:r>
      <w:r w:rsidRPr="00A34164">
        <w:t xml:space="preserve"> será desclassificada e s</w:t>
      </w:r>
      <w:r>
        <w:t xml:space="preserve">erá chamada a próxima empresa colocada no processo licitatório. Se aprovada, a Licitante será confirmada como a Empresa Vencedora e a assinatura do Contrato com a </w:t>
      </w:r>
      <w:r w:rsidR="00046A4A">
        <w:t>PPSA</w:t>
      </w:r>
      <w:r>
        <w:t xml:space="preserve"> ocorrerá em até 05 (cinco) dias.</w:t>
      </w:r>
    </w:p>
    <w:p w:rsidR="00322C6B" w:rsidRPr="00A34164" w:rsidRDefault="00322C6B" w:rsidP="00322C6B">
      <w:pPr>
        <w:spacing w:after="206" w:line="259" w:lineRule="auto"/>
        <w:jc w:val="both"/>
      </w:pPr>
      <w:r w:rsidRPr="00A34164">
        <w:rPr>
          <w:u w:val="single" w:color="000000"/>
        </w:rPr>
        <w:t>Observação:</w:t>
      </w:r>
      <w:r w:rsidRPr="00A34164">
        <w:t xml:space="preserve">  </w:t>
      </w:r>
    </w:p>
    <w:p w:rsidR="00322C6B" w:rsidRDefault="00322C6B" w:rsidP="00AD0FC0">
      <w:pPr>
        <w:spacing w:after="35"/>
        <w:ind w:left="17"/>
        <w:jc w:val="both"/>
      </w:pPr>
      <w:r w:rsidRPr="00A34164">
        <w:lastRenderedPageBreak/>
        <w:t>Será inabili</w:t>
      </w:r>
      <w:r>
        <w:t>tada a L</w:t>
      </w:r>
      <w:r w:rsidRPr="00A34164">
        <w:t>icitante que, seja qual for o motivo, apresente documentação e manuais incompletos ou que deixe de comprovar qualquer ca</w:t>
      </w:r>
      <w:r>
        <w:t>racterística do software proposto</w:t>
      </w:r>
      <w:r w:rsidRPr="00A34164">
        <w:t xml:space="preserve"> ou que não atenda às exigências cons</w:t>
      </w:r>
      <w:r>
        <w:t xml:space="preserve">tantes </w:t>
      </w:r>
      <w:r w:rsidR="006418C2">
        <w:t>no</w:t>
      </w:r>
      <w:r>
        <w:t xml:space="preserve"> TR.</w:t>
      </w:r>
    </w:p>
    <w:p w:rsidR="00AD0FC0" w:rsidRDefault="00AD0FC0" w:rsidP="00AD0FC0">
      <w:pPr>
        <w:spacing w:after="35"/>
        <w:ind w:left="17"/>
        <w:jc w:val="both"/>
      </w:pPr>
    </w:p>
    <w:tbl>
      <w:tblPr>
        <w:tblStyle w:val="TableGrid"/>
        <w:tblW w:w="10060" w:type="dxa"/>
        <w:jc w:val="center"/>
        <w:tblInd w:w="0" w:type="dxa"/>
        <w:tblCellMar>
          <w:top w:w="154" w:type="dxa"/>
          <w:left w:w="166" w:type="dxa"/>
          <w:bottom w:w="6" w:type="dxa"/>
          <w:right w:w="108" w:type="dxa"/>
        </w:tblCellMar>
        <w:tblLook w:val="04A0" w:firstRow="1" w:lastRow="0" w:firstColumn="1" w:lastColumn="0" w:noHBand="0" w:noVBand="1"/>
      </w:tblPr>
      <w:tblGrid>
        <w:gridCol w:w="3256"/>
        <w:gridCol w:w="3402"/>
        <w:gridCol w:w="3402"/>
      </w:tblGrid>
      <w:tr w:rsidR="00322C6B" w:rsidRPr="00A34164" w:rsidTr="00EB26CA">
        <w:trPr>
          <w:trHeight w:val="576"/>
          <w:jc w:val="center"/>
        </w:trPr>
        <w:tc>
          <w:tcPr>
            <w:tcW w:w="100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2C6B" w:rsidRPr="00A34164" w:rsidRDefault="00322C6B" w:rsidP="00EB26CA">
            <w:pPr>
              <w:spacing w:line="259" w:lineRule="auto"/>
              <w:ind w:right="57"/>
              <w:jc w:val="center"/>
            </w:pPr>
            <w:r w:rsidRPr="00A34164">
              <w:t>CIÊNCIA</w:t>
            </w:r>
          </w:p>
        </w:tc>
      </w:tr>
      <w:tr w:rsidR="00322C6B" w:rsidRPr="00A34164" w:rsidTr="00EB26CA">
        <w:trPr>
          <w:trHeight w:val="578"/>
          <w:jc w:val="center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22C6B" w:rsidRDefault="00046A4A" w:rsidP="00EB26CA">
            <w:pPr>
              <w:spacing w:line="259" w:lineRule="auto"/>
              <w:ind w:right="56"/>
              <w:jc w:val="center"/>
            </w:pPr>
            <w:r>
              <w:t>PPSA</w:t>
            </w:r>
          </w:p>
          <w:p w:rsidR="00322C6B" w:rsidRPr="00A34164" w:rsidRDefault="00322C6B" w:rsidP="00EB26CA">
            <w:pPr>
              <w:spacing w:line="259" w:lineRule="auto"/>
              <w:ind w:right="56"/>
              <w:jc w:val="center"/>
            </w:pPr>
            <w:r w:rsidRPr="00A34164">
              <w:t xml:space="preserve">Integrante Técnico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2C6B" w:rsidRDefault="00046A4A" w:rsidP="00EB26CA">
            <w:pPr>
              <w:spacing w:line="259" w:lineRule="auto"/>
              <w:ind w:right="55"/>
              <w:jc w:val="center"/>
            </w:pPr>
            <w:r>
              <w:t>PPSA</w:t>
            </w:r>
            <w:r w:rsidR="00322C6B">
              <w:t xml:space="preserve"> </w:t>
            </w:r>
          </w:p>
          <w:p w:rsidR="00322C6B" w:rsidRPr="00A34164" w:rsidRDefault="00322C6B" w:rsidP="00EB26CA">
            <w:pPr>
              <w:spacing w:line="259" w:lineRule="auto"/>
              <w:ind w:right="55"/>
              <w:jc w:val="center"/>
            </w:pPr>
            <w:r>
              <w:t>Fiscal do Contrato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2C6B" w:rsidRDefault="00322C6B" w:rsidP="00EB26CA">
            <w:pPr>
              <w:spacing w:line="259" w:lineRule="auto"/>
              <w:ind w:right="56"/>
              <w:jc w:val="center"/>
            </w:pPr>
            <w:r>
              <w:t>LICITANTE</w:t>
            </w:r>
          </w:p>
          <w:p w:rsidR="00322C6B" w:rsidRPr="00A34164" w:rsidRDefault="00322C6B" w:rsidP="00EB26CA">
            <w:pPr>
              <w:spacing w:line="259" w:lineRule="auto"/>
              <w:jc w:val="center"/>
            </w:pPr>
            <w:r>
              <w:t>Preposto</w:t>
            </w:r>
          </w:p>
        </w:tc>
      </w:tr>
      <w:tr w:rsidR="00322C6B" w:rsidRPr="00A34164" w:rsidTr="00EB26CA">
        <w:trPr>
          <w:trHeight w:val="2532"/>
          <w:jc w:val="center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2C6B" w:rsidRPr="00A34164" w:rsidRDefault="00322C6B" w:rsidP="00EB26CA">
            <w:pPr>
              <w:spacing w:after="92" w:line="259" w:lineRule="auto"/>
              <w:ind w:right="3"/>
              <w:jc w:val="center"/>
            </w:pPr>
            <w:r w:rsidRPr="00A34164">
              <w:t xml:space="preserve"> </w:t>
            </w:r>
          </w:p>
          <w:p w:rsidR="00322C6B" w:rsidRPr="00A34164" w:rsidRDefault="00322C6B" w:rsidP="00EB26CA">
            <w:pPr>
              <w:spacing w:after="91" w:line="259" w:lineRule="auto"/>
              <w:ind w:right="58"/>
              <w:jc w:val="center"/>
            </w:pPr>
            <w:r w:rsidRPr="00A34164">
              <w:t xml:space="preserve">______________________ </w:t>
            </w:r>
          </w:p>
          <w:p w:rsidR="00322C6B" w:rsidRPr="00A34164" w:rsidRDefault="00322C6B" w:rsidP="00EB26CA">
            <w:pPr>
              <w:spacing w:line="348" w:lineRule="auto"/>
              <w:jc w:val="center"/>
            </w:pPr>
            <w:r w:rsidRPr="00A34164">
              <w:t>XXXX</w:t>
            </w:r>
          </w:p>
          <w:p w:rsidR="00322C6B" w:rsidRPr="00A34164" w:rsidRDefault="00322C6B" w:rsidP="00EB26CA">
            <w:pPr>
              <w:spacing w:line="259" w:lineRule="auto"/>
              <w:ind w:right="3"/>
              <w:jc w:val="center"/>
            </w:pPr>
            <w:r w:rsidRPr="00A34164">
              <w:t xml:space="preserve">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2C6B" w:rsidRPr="00A34164" w:rsidRDefault="00322C6B" w:rsidP="00EB26CA">
            <w:pPr>
              <w:spacing w:after="92" w:line="259" w:lineRule="auto"/>
              <w:ind w:right="3"/>
              <w:jc w:val="center"/>
            </w:pPr>
            <w:r w:rsidRPr="00A34164">
              <w:t xml:space="preserve"> </w:t>
            </w:r>
          </w:p>
          <w:p w:rsidR="00322C6B" w:rsidRPr="00A34164" w:rsidRDefault="00322C6B" w:rsidP="00EB26CA">
            <w:pPr>
              <w:spacing w:after="91" w:line="259" w:lineRule="auto"/>
              <w:ind w:right="58"/>
              <w:jc w:val="center"/>
            </w:pPr>
            <w:r w:rsidRPr="00A34164">
              <w:t xml:space="preserve">______________________ </w:t>
            </w:r>
          </w:p>
          <w:p w:rsidR="00322C6B" w:rsidRPr="00A34164" w:rsidRDefault="00322C6B" w:rsidP="00EB26CA">
            <w:pPr>
              <w:spacing w:line="348" w:lineRule="auto"/>
              <w:jc w:val="center"/>
            </w:pPr>
            <w:r w:rsidRPr="00A34164">
              <w:t>XXXX</w:t>
            </w:r>
          </w:p>
          <w:p w:rsidR="00322C6B" w:rsidRPr="00A34164" w:rsidRDefault="00322C6B" w:rsidP="00EB26CA">
            <w:pPr>
              <w:spacing w:line="259" w:lineRule="auto"/>
              <w:ind w:right="3"/>
              <w:jc w:val="center"/>
            </w:pPr>
            <w:r w:rsidRPr="00A34164">
              <w:t xml:space="preserve">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2C6B" w:rsidRPr="00A34164" w:rsidRDefault="00322C6B" w:rsidP="00EB26CA">
            <w:pPr>
              <w:spacing w:after="92" w:line="259" w:lineRule="auto"/>
              <w:ind w:right="3"/>
              <w:jc w:val="center"/>
            </w:pPr>
            <w:r w:rsidRPr="00A34164">
              <w:t xml:space="preserve"> </w:t>
            </w:r>
          </w:p>
          <w:p w:rsidR="00322C6B" w:rsidRPr="00A34164" w:rsidRDefault="00322C6B" w:rsidP="00EB26CA">
            <w:pPr>
              <w:spacing w:after="91" w:line="259" w:lineRule="auto"/>
              <w:ind w:right="58"/>
              <w:jc w:val="center"/>
            </w:pPr>
            <w:r w:rsidRPr="00A34164">
              <w:t xml:space="preserve">______________________ </w:t>
            </w:r>
          </w:p>
          <w:p w:rsidR="00322C6B" w:rsidRPr="00A34164" w:rsidRDefault="00322C6B" w:rsidP="00EB26CA">
            <w:pPr>
              <w:spacing w:line="348" w:lineRule="auto"/>
              <w:jc w:val="center"/>
            </w:pPr>
            <w:r w:rsidRPr="00A34164">
              <w:t>XXXX</w:t>
            </w:r>
          </w:p>
          <w:p w:rsidR="00322C6B" w:rsidRPr="00A34164" w:rsidRDefault="00322C6B" w:rsidP="00EB26CA">
            <w:pPr>
              <w:spacing w:line="259" w:lineRule="auto"/>
              <w:ind w:right="3"/>
              <w:jc w:val="center"/>
            </w:pPr>
            <w:r w:rsidRPr="00A34164">
              <w:t xml:space="preserve"> </w:t>
            </w:r>
          </w:p>
        </w:tc>
      </w:tr>
      <w:tr w:rsidR="00322C6B" w:rsidRPr="00A34164" w:rsidTr="00EB26CA">
        <w:trPr>
          <w:trHeight w:val="670"/>
          <w:jc w:val="center"/>
        </w:trPr>
        <w:tc>
          <w:tcPr>
            <w:tcW w:w="100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2C6B" w:rsidRPr="00A34164" w:rsidRDefault="00322C6B" w:rsidP="00EB26CA">
            <w:pPr>
              <w:spacing w:after="94" w:line="259" w:lineRule="auto"/>
              <w:ind w:right="3"/>
              <w:jc w:val="center"/>
            </w:pPr>
            <w:r w:rsidRPr="00A34164">
              <w:t xml:space="preserve"> </w:t>
            </w:r>
          </w:p>
          <w:p w:rsidR="00322C6B" w:rsidRDefault="00322C6B" w:rsidP="00EB26CA">
            <w:pPr>
              <w:spacing w:line="259" w:lineRule="auto"/>
              <w:ind w:right="56"/>
              <w:jc w:val="center"/>
            </w:pPr>
            <w:r w:rsidRPr="00A34164">
              <w:t>Rio de Janeiro, ________ d</w:t>
            </w:r>
            <w:r>
              <w:t>e _____________________ de 20____</w:t>
            </w:r>
          </w:p>
          <w:p w:rsidR="00322C6B" w:rsidRPr="00A34164" w:rsidRDefault="00322C6B" w:rsidP="00EB26CA">
            <w:pPr>
              <w:spacing w:line="259" w:lineRule="auto"/>
              <w:ind w:right="56"/>
              <w:jc w:val="center"/>
            </w:pPr>
          </w:p>
        </w:tc>
      </w:tr>
    </w:tbl>
    <w:p w:rsidR="00537B5E" w:rsidRDefault="0025133B" w:rsidP="00322C6B">
      <w:pPr>
        <w:spacing w:after="240"/>
        <w:ind w:left="22"/>
        <w:jc w:val="both"/>
      </w:pPr>
    </w:p>
    <w:p w:rsidR="00AD0FC0" w:rsidRDefault="00AD0FC0">
      <w:pPr>
        <w:spacing w:after="160" w:line="259" w:lineRule="auto"/>
      </w:pPr>
      <w:r>
        <w:br w:type="page"/>
      </w:r>
    </w:p>
    <w:p w:rsidR="00AD0FC0" w:rsidRPr="004A33C6" w:rsidRDefault="00AD0FC0" w:rsidP="00AD0FC0">
      <w:pPr>
        <w:spacing w:after="240"/>
        <w:ind w:left="22"/>
        <w:jc w:val="center"/>
        <w:rPr>
          <w:b/>
          <w:sz w:val="28"/>
          <w:szCs w:val="28"/>
        </w:rPr>
      </w:pPr>
      <w:r w:rsidRPr="004A33C6">
        <w:rPr>
          <w:b/>
          <w:sz w:val="28"/>
          <w:szCs w:val="28"/>
        </w:rPr>
        <w:lastRenderedPageBreak/>
        <w:t>Anexos</w:t>
      </w:r>
    </w:p>
    <w:p w:rsidR="00AD0FC0" w:rsidRPr="004A33C6" w:rsidRDefault="00AD0FC0" w:rsidP="00322C6B">
      <w:pPr>
        <w:spacing w:after="240"/>
        <w:ind w:left="22"/>
        <w:jc w:val="both"/>
      </w:pPr>
    </w:p>
    <w:p w:rsidR="00AD0FC0" w:rsidRPr="004A33C6" w:rsidRDefault="00AD0FC0" w:rsidP="00322C6B">
      <w:pPr>
        <w:spacing w:after="240"/>
        <w:ind w:left="22"/>
        <w:jc w:val="both"/>
        <w:rPr>
          <w:b/>
          <w:sz w:val="28"/>
          <w:szCs w:val="28"/>
        </w:rPr>
      </w:pPr>
      <w:r w:rsidRPr="004A33C6">
        <w:rPr>
          <w:b/>
          <w:sz w:val="28"/>
          <w:szCs w:val="28"/>
        </w:rPr>
        <w:t xml:space="preserve">Anexo </w:t>
      </w:r>
      <w:r w:rsidR="0011668D" w:rsidRPr="004A33C6">
        <w:rPr>
          <w:b/>
          <w:sz w:val="28"/>
          <w:szCs w:val="28"/>
        </w:rPr>
        <w:t>5.1</w:t>
      </w:r>
      <w:r w:rsidRPr="004A33C6">
        <w:rPr>
          <w:b/>
          <w:sz w:val="28"/>
          <w:szCs w:val="28"/>
        </w:rPr>
        <w:t>:</w:t>
      </w:r>
    </w:p>
    <w:p w:rsidR="00AD0FC0" w:rsidRPr="004A33C6" w:rsidRDefault="00AD0FC0" w:rsidP="00322C6B">
      <w:pPr>
        <w:spacing w:after="240"/>
        <w:ind w:left="22"/>
        <w:jc w:val="both"/>
      </w:pPr>
    </w:p>
    <w:p w:rsidR="00AD0FC0" w:rsidRPr="004A33C6" w:rsidRDefault="00AD0FC0" w:rsidP="00534910">
      <w:pPr>
        <w:spacing w:after="240"/>
        <w:ind w:left="22"/>
        <w:jc w:val="center"/>
        <w:rPr>
          <w:b/>
        </w:rPr>
      </w:pPr>
      <w:r w:rsidRPr="004A33C6">
        <w:rPr>
          <w:b/>
        </w:rPr>
        <w:t>Diagrama de Caso de Uso:</w:t>
      </w:r>
    </w:p>
    <w:p w:rsidR="00AD0FC0" w:rsidRDefault="00AD0FC0" w:rsidP="00322C6B">
      <w:pPr>
        <w:spacing w:after="240"/>
        <w:ind w:left="22"/>
        <w:jc w:val="both"/>
      </w:pPr>
    </w:p>
    <w:p w:rsidR="004A33C6" w:rsidRDefault="004A33C6" w:rsidP="00322C6B">
      <w:pPr>
        <w:spacing w:after="240"/>
        <w:ind w:left="22"/>
        <w:jc w:val="both"/>
      </w:pPr>
      <w:r>
        <w:object w:dxaOrig="15630" w:dyaOrig="1041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5pt;height:283.8pt" o:ole="">
            <v:imagedata r:id="rId5" o:title=""/>
          </v:shape>
          <o:OLEObject Type="Embed" ProgID="Visio.Drawing.15" ShapeID="_x0000_i1025" DrawAspect="Content" ObjectID="_1579428342" r:id="rId6"/>
        </w:object>
      </w:r>
    </w:p>
    <w:p w:rsidR="00AD0FC0" w:rsidRDefault="00AD0FC0" w:rsidP="00322C6B">
      <w:pPr>
        <w:spacing w:after="240"/>
        <w:ind w:left="22"/>
        <w:jc w:val="both"/>
      </w:pPr>
    </w:p>
    <w:p w:rsidR="00AD0FC0" w:rsidRDefault="00AD0FC0">
      <w:pPr>
        <w:spacing w:after="160" w:line="259" w:lineRule="auto"/>
      </w:pPr>
      <w:r>
        <w:br w:type="page"/>
      </w:r>
    </w:p>
    <w:p w:rsidR="00AD0FC0" w:rsidRDefault="00AD0FC0" w:rsidP="00322C6B">
      <w:pPr>
        <w:spacing w:after="240"/>
        <w:ind w:left="22"/>
        <w:jc w:val="both"/>
      </w:pPr>
    </w:p>
    <w:p w:rsidR="00534910" w:rsidRPr="004A33C6" w:rsidRDefault="00AD0FC0" w:rsidP="00322C6B">
      <w:pPr>
        <w:spacing w:after="240"/>
        <w:ind w:left="22"/>
        <w:jc w:val="both"/>
        <w:rPr>
          <w:b/>
          <w:sz w:val="28"/>
          <w:szCs w:val="28"/>
        </w:rPr>
      </w:pPr>
      <w:r w:rsidRPr="004A33C6">
        <w:rPr>
          <w:b/>
          <w:sz w:val="28"/>
          <w:szCs w:val="28"/>
        </w:rPr>
        <w:t xml:space="preserve">Anexo </w:t>
      </w:r>
      <w:r w:rsidR="0011668D" w:rsidRPr="004A33C6">
        <w:rPr>
          <w:b/>
          <w:sz w:val="28"/>
          <w:szCs w:val="28"/>
        </w:rPr>
        <w:t>5.2</w:t>
      </w:r>
      <w:r w:rsidRPr="004A33C6">
        <w:rPr>
          <w:b/>
          <w:sz w:val="28"/>
          <w:szCs w:val="28"/>
        </w:rPr>
        <w:t>:</w:t>
      </w:r>
    </w:p>
    <w:p w:rsidR="00AD0FC0" w:rsidRPr="004A33C6" w:rsidRDefault="00534910" w:rsidP="00534910">
      <w:pPr>
        <w:spacing w:after="240"/>
        <w:ind w:left="22"/>
        <w:jc w:val="center"/>
        <w:rPr>
          <w:b/>
          <w:sz w:val="24"/>
          <w:szCs w:val="24"/>
        </w:rPr>
      </w:pPr>
      <w:r w:rsidRPr="004A33C6">
        <w:rPr>
          <w:b/>
          <w:sz w:val="24"/>
          <w:szCs w:val="24"/>
        </w:rPr>
        <w:t>Regras de Cálculos Parametrizáveis</w:t>
      </w:r>
    </w:p>
    <w:p w:rsidR="00AD0FC0" w:rsidRPr="004A33C6" w:rsidRDefault="00AD0FC0" w:rsidP="00322C6B">
      <w:pPr>
        <w:spacing w:after="240"/>
        <w:ind w:left="22"/>
        <w:jc w:val="both"/>
        <w:rPr>
          <w:sz w:val="24"/>
          <w:szCs w:val="24"/>
        </w:rPr>
      </w:pPr>
    </w:p>
    <w:p w:rsidR="00534910" w:rsidRPr="004A33C6" w:rsidRDefault="00534910" w:rsidP="00534910">
      <w:pPr>
        <w:pStyle w:val="Style3"/>
        <w:numPr>
          <w:ilvl w:val="0"/>
          <w:numId w:val="0"/>
        </w:numPr>
        <w:tabs>
          <w:tab w:val="left" w:pos="1560"/>
        </w:tabs>
        <w:ind w:left="720" w:hanging="720"/>
        <w:rPr>
          <w:b/>
        </w:rPr>
      </w:pPr>
      <w:r w:rsidRPr="004A33C6">
        <w:rPr>
          <w:b/>
        </w:rPr>
        <w:t>Com base em dados cadastrados através da tela (Fatores das Fórmulas {a}) e parametrização de fórmulas (Fatores, Operadores {b} e sua Composição) deve ser efetuada a Rotina de Cálculo Automática I (CPP), descrita abaixo.</w:t>
      </w:r>
    </w:p>
    <w:p w:rsidR="00534910" w:rsidRPr="004A33C6" w:rsidRDefault="00534910" w:rsidP="00534910">
      <w:pPr>
        <w:spacing w:line="360" w:lineRule="auto"/>
        <w:jc w:val="both"/>
        <w:rPr>
          <w:rFonts w:cstheme="minorHAnsi"/>
        </w:rPr>
      </w:pPr>
    </w:p>
    <w:p w:rsidR="00534910" w:rsidRPr="004A33C6" w:rsidRDefault="00534910" w:rsidP="00534910">
      <w:pPr>
        <w:spacing w:line="360" w:lineRule="auto"/>
        <w:ind w:left="290" w:firstLine="264"/>
        <w:jc w:val="both"/>
        <w:rPr>
          <w:rFonts w:cstheme="minorHAnsi"/>
        </w:rPr>
      </w:pPr>
      <w:r w:rsidRPr="004A33C6">
        <w:rPr>
          <w:rFonts w:cstheme="minorHAnsi"/>
        </w:rPr>
        <w:t>A necessidade de Parametrização de Fórmulas (Fatores, Operadores e sua Composição) deriva da definição destas fórmulas variarem entre os diversos contratos firmados com os Operadores.</w:t>
      </w:r>
    </w:p>
    <w:p w:rsidR="00534910" w:rsidRPr="004A33C6" w:rsidRDefault="00534910" w:rsidP="00534910">
      <w:pPr>
        <w:pStyle w:val="Style3"/>
        <w:numPr>
          <w:ilvl w:val="0"/>
          <w:numId w:val="0"/>
        </w:numPr>
        <w:tabs>
          <w:tab w:val="left" w:pos="1560"/>
        </w:tabs>
        <w:ind w:left="1428" w:hanging="720"/>
        <w:rPr>
          <w:rFonts w:asciiTheme="minorHAnsi" w:hAnsiTheme="minorHAnsi"/>
        </w:rPr>
      </w:pPr>
      <w:r w:rsidRPr="004A33C6">
        <w:rPr>
          <w:rFonts w:asciiTheme="minorHAnsi" w:hAnsiTheme="minorHAnsi"/>
        </w:rPr>
        <w:t>{a} “...dados necessários como insumo disponibilizados no SGP”</w:t>
      </w:r>
    </w:p>
    <w:p w:rsidR="00534910" w:rsidRPr="004A33C6" w:rsidRDefault="00534910" w:rsidP="00534910">
      <w:pPr>
        <w:pStyle w:val="Style3"/>
        <w:numPr>
          <w:ilvl w:val="0"/>
          <w:numId w:val="0"/>
        </w:numPr>
        <w:tabs>
          <w:tab w:val="left" w:pos="1560"/>
        </w:tabs>
        <w:ind w:left="1428" w:hanging="720"/>
        <w:rPr>
          <w:rFonts w:asciiTheme="minorHAnsi" w:hAnsiTheme="minorHAnsi"/>
        </w:rPr>
      </w:pPr>
      <w:r w:rsidRPr="004A33C6">
        <w:rPr>
          <w:rFonts w:asciiTheme="minorHAnsi" w:hAnsiTheme="minorHAnsi"/>
        </w:rPr>
        <w:t>{b} Exemplos de Operadores possíveis nas Fórmulas: aritméticos, lógicos, etc.</w:t>
      </w:r>
    </w:p>
    <w:p w:rsidR="00534910" w:rsidRPr="004A33C6" w:rsidRDefault="00534910" w:rsidP="00534910">
      <w:pPr>
        <w:pStyle w:val="Style3"/>
        <w:numPr>
          <w:ilvl w:val="0"/>
          <w:numId w:val="0"/>
        </w:numPr>
        <w:tabs>
          <w:tab w:val="left" w:pos="1560"/>
        </w:tabs>
        <w:ind w:left="720" w:hanging="720"/>
        <w:rPr>
          <w:rFonts w:asciiTheme="minorHAnsi" w:hAnsiTheme="minorHAnsi"/>
        </w:rPr>
      </w:pPr>
    </w:p>
    <w:p w:rsidR="00534910" w:rsidRPr="004A33C6" w:rsidRDefault="00534910" w:rsidP="00534910">
      <w:pPr>
        <w:pStyle w:val="Style3"/>
        <w:numPr>
          <w:ilvl w:val="0"/>
          <w:numId w:val="0"/>
        </w:numPr>
        <w:tabs>
          <w:tab w:val="left" w:pos="1560"/>
        </w:tabs>
        <w:ind w:left="720" w:hanging="720"/>
        <w:rPr>
          <w:b/>
        </w:rPr>
      </w:pPr>
      <w:r w:rsidRPr="004A33C6">
        <w:rPr>
          <w:b/>
        </w:rPr>
        <w:t>Rotina de Cálculo Automática I (CPP) – Atividades 8 a 11, ilustradas no Padrão de Processo</w:t>
      </w:r>
    </w:p>
    <w:p w:rsidR="00534910" w:rsidRPr="004A33C6" w:rsidRDefault="00534910" w:rsidP="00534910">
      <w:pPr>
        <w:spacing w:line="360" w:lineRule="auto"/>
        <w:ind w:left="290" w:firstLine="264"/>
        <w:jc w:val="both"/>
        <w:rPr>
          <w:rFonts w:cstheme="minorHAnsi"/>
        </w:rPr>
      </w:pPr>
      <w:r w:rsidRPr="004A33C6">
        <w:rPr>
          <w:rFonts w:cstheme="minorHAnsi"/>
        </w:rPr>
        <w:t>Com todos os dados necessários como insumo disponibilizados no SGP, conforme descrito no item anterior, a Rotina de Cálculo Automática I segue da seguinte forma:</w:t>
      </w:r>
    </w:p>
    <w:p w:rsidR="00534910" w:rsidRPr="004A33C6" w:rsidRDefault="00534910" w:rsidP="00534910">
      <w:pPr>
        <w:pStyle w:val="PargrafodaLista"/>
        <w:numPr>
          <w:ilvl w:val="0"/>
          <w:numId w:val="9"/>
        </w:numPr>
        <w:spacing w:after="200" w:line="360" w:lineRule="auto"/>
        <w:ind w:left="993" w:hanging="477"/>
        <w:contextualSpacing/>
        <w:rPr>
          <w:rFonts w:asciiTheme="minorHAnsi" w:hAnsiTheme="minorHAnsi" w:cstheme="minorHAnsi"/>
          <w:bCs/>
        </w:rPr>
      </w:pPr>
      <w:r w:rsidRPr="004A33C6">
        <w:rPr>
          <w:rFonts w:asciiTheme="minorHAnsi" w:hAnsiTheme="minorHAnsi" w:cstheme="minorHAnsi"/>
          <w:bCs/>
        </w:rPr>
        <w:t>Calcular VBP</w:t>
      </w:r>
      <w:r w:rsidRPr="004A33C6">
        <w:rPr>
          <w:rFonts w:asciiTheme="minorHAnsi" w:hAnsiTheme="minorHAnsi" w:cstheme="minorHAnsi"/>
          <w:bCs/>
          <w:vertAlign w:val="subscript"/>
        </w:rPr>
        <w:t>m</w:t>
      </w:r>
      <w:r w:rsidRPr="004A33C6">
        <w:rPr>
          <w:rFonts w:asciiTheme="minorHAnsi" w:hAnsiTheme="minorHAnsi" w:cstheme="minorHAnsi"/>
          <w:bCs/>
        </w:rPr>
        <w:t xml:space="preserve"> (Valor Bruto da Produção do mês corrente “m”) de cada CPP, através da fórmula:</w:t>
      </w:r>
    </w:p>
    <w:p w:rsidR="00534910" w:rsidRPr="004A33C6" w:rsidRDefault="00534910" w:rsidP="00534910">
      <w:pPr>
        <w:pStyle w:val="PargrafodaLista"/>
        <w:spacing w:line="360" w:lineRule="auto"/>
        <w:ind w:left="1014"/>
        <w:rPr>
          <w:rFonts w:asciiTheme="minorHAnsi" w:hAnsiTheme="minorHAnsi" w:cstheme="minorHAnsi"/>
          <w:bCs/>
        </w:rPr>
      </w:pPr>
      <w:r w:rsidRPr="004A33C6">
        <w:rPr>
          <w:rFonts w:asciiTheme="minorHAnsi" w:hAnsiTheme="minorHAnsi" w:cstheme="minorHAnsi"/>
          <w:bCs/>
        </w:rPr>
        <w:t>VBP</w:t>
      </w:r>
      <w:r w:rsidRPr="004A33C6">
        <w:rPr>
          <w:rFonts w:asciiTheme="minorHAnsi" w:hAnsiTheme="minorHAnsi" w:cstheme="minorHAnsi"/>
          <w:bCs/>
          <w:vertAlign w:val="subscript"/>
        </w:rPr>
        <w:t>m</w:t>
      </w:r>
      <w:r w:rsidRPr="004A33C6">
        <w:rPr>
          <w:rFonts w:asciiTheme="minorHAnsi" w:hAnsiTheme="minorHAnsi" w:cstheme="minorHAnsi"/>
          <w:bCs/>
        </w:rPr>
        <w:t xml:space="preserve"> = VPF</w:t>
      </w:r>
      <w:r w:rsidRPr="004A33C6">
        <w:rPr>
          <w:rFonts w:asciiTheme="minorHAnsi" w:hAnsiTheme="minorHAnsi" w:cstheme="minorHAnsi"/>
          <w:bCs/>
          <w:vertAlign w:val="subscript"/>
        </w:rPr>
        <w:t>p,m</w:t>
      </w:r>
      <w:r w:rsidRPr="004A33C6">
        <w:rPr>
          <w:rFonts w:asciiTheme="minorHAnsi" w:hAnsiTheme="minorHAnsi" w:cstheme="minorHAnsi"/>
          <w:bCs/>
        </w:rPr>
        <w:t xml:space="preserve"> . PR</w:t>
      </w:r>
      <w:r w:rsidRPr="004A33C6">
        <w:rPr>
          <w:rFonts w:asciiTheme="minorHAnsi" w:hAnsiTheme="minorHAnsi" w:cstheme="minorHAnsi"/>
          <w:bCs/>
          <w:vertAlign w:val="subscript"/>
        </w:rPr>
        <w:t>p,m</w:t>
      </w:r>
      <w:r w:rsidRPr="004A33C6">
        <w:rPr>
          <w:rFonts w:asciiTheme="minorHAnsi" w:hAnsiTheme="minorHAnsi" w:cstheme="minorHAnsi"/>
          <w:bCs/>
        </w:rPr>
        <w:t xml:space="preserve"> + VPF</w:t>
      </w:r>
      <w:r w:rsidRPr="004A33C6">
        <w:rPr>
          <w:rFonts w:asciiTheme="minorHAnsi" w:hAnsiTheme="minorHAnsi" w:cstheme="minorHAnsi"/>
          <w:bCs/>
          <w:vertAlign w:val="subscript"/>
        </w:rPr>
        <w:t>g,m</w:t>
      </w:r>
      <w:r w:rsidRPr="004A33C6">
        <w:rPr>
          <w:rFonts w:asciiTheme="minorHAnsi" w:hAnsiTheme="minorHAnsi" w:cstheme="minorHAnsi"/>
          <w:bCs/>
        </w:rPr>
        <w:t xml:space="preserve"> . PR</w:t>
      </w:r>
      <w:r w:rsidRPr="004A33C6">
        <w:rPr>
          <w:rFonts w:asciiTheme="minorHAnsi" w:hAnsiTheme="minorHAnsi" w:cstheme="minorHAnsi"/>
          <w:bCs/>
          <w:vertAlign w:val="subscript"/>
        </w:rPr>
        <w:t>g,m</w:t>
      </w:r>
    </w:p>
    <w:p w:rsidR="00534910" w:rsidRPr="004A33C6" w:rsidRDefault="00534910" w:rsidP="00534910">
      <w:pPr>
        <w:pStyle w:val="PargrafodaLista"/>
        <w:spacing w:line="360" w:lineRule="auto"/>
        <w:ind w:left="1028"/>
        <w:rPr>
          <w:rFonts w:asciiTheme="minorHAnsi" w:hAnsiTheme="minorHAnsi" w:cstheme="minorHAnsi"/>
          <w:bCs/>
        </w:rPr>
      </w:pPr>
      <w:r w:rsidRPr="004A33C6">
        <w:rPr>
          <w:rFonts w:asciiTheme="minorHAnsi" w:hAnsiTheme="minorHAnsi" w:cstheme="minorHAnsi"/>
          <w:bCs/>
        </w:rPr>
        <w:t>Em que:</w:t>
      </w:r>
    </w:p>
    <w:p w:rsidR="00534910" w:rsidRPr="004A33C6" w:rsidRDefault="00534910" w:rsidP="00534910">
      <w:pPr>
        <w:pStyle w:val="PargrafodaLista"/>
        <w:spacing w:line="360" w:lineRule="auto"/>
        <w:ind w:left="1419"/>
        <w:rPr>
          <w:rFonts w:asciiTheme="minorHAnsi" w:hAnsiTheme="minorHAnsi" w:cstheme="minorHAnsi"/>
          <w:bCs/>
        </w:rPr>
      </w:pPr>
      <w:r w:rsidRPr="004A33C6">
        <w:rPr>
          <w:rFonts w:asciiTheme="minorHAnsi" w:hAnsiTheme="minorHAnsi" w:cstheme="minorHAnsi"/>
          <w:bCs/>
        </w:rPr>
        <w:t>VBP</w:t>
      </w:r>
      <w:r w:rsidRPr="004A33C6">
        <w:rPr>
          <w:rFonts w:asciiTheme="minorHAnsi" w:hAnsiTheme="minorHAnsi" w:cstheme="minorHAnsi"/>
          <w:bCs/>
          <w:vertAlign w:val="subscript"/>
        </w:rPr>
        <w:t>m</w:t>
      </w:r>
      <w:r w:rsidRPr="004A33C6">
        <w:rPr>
          <w:rFonts w:asciiTheme="minorHAnsi" w:hAnsiTheme="minorHAnsi" w:cstheme="minorHAnsi"/>
          <w:bCs/>
        </w:rPr>
        <w:t>: Valor Bruto da Produção do mês “m”;</w:t>
      </w:r>
    </w:p>
    <w:p w:rsidR="00534910" w:rsidRPr="004A33C6" w:rsidRDefault="00534910" w:rsidP="00534910">
      <w:pPr>
        <w:pStyle w:val="PargrafodaLista"/>
        <w:spacing w:line="360" w:lineRule="auto"/>
        <w:ind w:left="1419"/>
        <w:rPr>
          <w:rFonts w:asciiTheme="minorHAnsi" w:hAnsiTheme="minorHAnsi" w:cstheme="minorHAnsi"/>
          <w:bCs/>
        </w:rPr>
      </w:pPr>
      <w:r w:rsidRPr="004A33C6">
        <w:rPr>
          <w:rFonts w:asciiTheme="minorHAnsi" w:hAnsiTheme="minorHAnsi" w:cstheme="minorHAnsi"/>
          <w:bCs/>
        </w:rPr>
        <w:t>VPF</w:t>
      </w:r>
      <w:r w:rsidRPr="004A33C6">
        <w:rPr>
          <w:rFonts w:asciiTheme="minorHAnsi" w:hAnsiTheme="minorHAnsi" w:cstheme="minorHAnsi"/>
          <w:bCs/>
          <w:vertAlign w:val="subscript"/>
        </w:rPr>
        <w:t>p,m</w:t>
      </w:r>
      <w:r w:rsidRPr="004A33C6">
        <w:rPr>
          <w:rFonts w:asciiTheme="minorHAnsi" w:hAnsiTheme="minorHAnsi" w:cstheme="minorHAnsi"/>
          <w:bCs/>
        </w:rPr>
        <w:t>: Volume da Produção Fiscalizada de petróleo para o mês “m”, em metros cúbicos;</w:t>
      </w:r>
    </w:p>
    <w:p w:rsidR="00534910" w:rsidRPr="004A33C6" w:rsidRDefault="00534910" w:rsidP="00534910">
      <w:pPr>
        <w:pStyle w:val="PargrafodaLista"/>
        <w:spacing w:line="360" w:lineRule="auto"/>
        <w:ind w:left="1419"/>
        <w:rPr>
          <w:rFonts w:asciiTheme="minorHAnsi" w:hAnsiTheme="minorHAnsi" w:cstheme="minorHAnsi"/>
          <w:bCs/>
        </w:rPr>
      </w:pPr>
      <w:r w:rsidRPr="004A33C6">
        <w:rPr>
          <w:rFonts w:asciiTheme="minorHAnsi" w:hAnsiTheme="minorHAnsi" w:cstheme="minorHAnsi"/>
          <w:bCs/>
        </w:rPr>
        <w:t>PR</w:t>
      </w:r>
      <w:r w:rsidRPr="004A33C6">
        <w:rPr>
          <w:rFonts w:asciiTheme="minorHAnsi" w:hAnsiTheme="minorHAnsi" w:cstheme="minorHAnsi"/>
          <w:bCs/>
          <w:vertAlign w:val="subscript"/>
        </w:rPr>
        <w:t>p,m</w:t>
      </w:r>
      <w:r w:rsidRPr="004A33C6">
        <w:rPr>
          <w:rFonts w:asciiTheme="minorHAnsi" w:hAnsiTheme="minorHAnsi" w:cstheme="minorHAnsi"/>
          <w:bCs/>
        </w:rPr>
        <w:t>: Preço de Referência do Petróleo no mês “m”;</w:t>
      </w:r>
    </w:p>
    <w:p w:rsidR="00534910" w:rsidRPr="004A33C6" w:rsidRDefault="00534910" w:rsidP="00534910">
      <w:pPr>
        <w:pStyle w:val="PargrafodaLista"/>
        <w:spacing w:line="360" w:lineRule="auto"/>
        <w:ind w:left="1419"/>
        <w:rPr>
          <w:rFonts w:asciiTheme="minorHAnsi" w:hAnsiTheme="minorHAnsi" w:cstheme="minorHAnsi"/>
          <w:bCs/>
        </w:rPr>
      </w:pPr>
      <w:r w:rsidRPr="004A33C6">
        <w:rPr>
          <w:rFonts w:asciiTheme="minorHAnsi" w:hAnsiTheme="minorHAnsi" w:cstheme="minorHAnsi"/>
          <w:bCs/>
        </w:rPr>
        <w:t>VPF</w:t>
      </w:r>
      <w:r w:rsidRPr="004A33C6">
        <w:rPr>
          <w:rFonts w:asciiTheme="minorHAnsi" w:hAnsiTheme="minorHAnsi" w:cstheme="minorHAnsi"/>
          <w:bCs/>
          <w:vertAlign w:val="subscript"/>
        </w:rPr>
        <w:t>g,m</w:t>
      </w:r>
      <w:r w:rsidRPr="004A33C6">
        <w:rPr>
          <w:rFonts w:asciiTheme="minorHAnsi" w:hAnsiTheme="minorHAnsi" w:cstheme="minorHAnsi"/>
          <w:bCs/>
        </w:rPr>
        <w:t>: Volume da Produção Fiscalizada de gás natural no mês “m” em metros cúbicos;</w:t>
      </w:r>
    </w:p>
    <w:p w:rsidR="00534910" w:rsidRPr="004A33C6" w:rsidRDefault="00534910" w:rsidP="00534910">
      <w:pPr>
        <w:pStyle w:val="PargrafodaLista"/>
        <w:spacing w:line="360" w:lineRule="auto"/>
        <w:ind w:left="1419"/>
        <w:rPr>
          <w:rFonts w:asciiTheme="minorHAnsi" w:hAnsiTheme="minorHAnsi" w:cstheme="minorHAnsi"/>
          <w:bCs/>
        </w:rPr>
      </w:pPr>
      <w:r w:rsidRPr="004A33C6">
        <w:rPr>
          <w:rFonts w:asciiTheme="minorHAnsi" w:hAnsiTheme="minorHAnsi" w:cstheme="minorHAnsi"/>
          <w:bCs/>
        </w:rPr>
        <w:t>PR</w:t>
      </w:r>
      <w:r w:rsidRPr="004A33C6">
        <w:rPr>
          <w:rFonts w:asciiTheme="minorHAnsi" w:hAnsiTheme="minorHAnsi" w:cstheme="minorHAnsi"/>
          <w:bCs/>
          <w:vertAlign w:val="subscript"/>
        </w:rPr>
        <w:t>g,m</w:t>
      </w:r>
      <w:r w:rsidRPr="004A33C6">
        <w:rPr>
          <w:rFonts w:asciiTheme="minorHAnsi" w:hAnsiTheme="minorHAnsi" w:cstheme="minorHAnsi"/>
          <w:bCs/>
        </w:rPr>
        <w:t>: Preço de Referência do gás natural produzido no mês “m”</w:t>
      </w:r>
    </w:p>
    <w:p w:rsidR="00534910" w:rsidRPr="004A33C6" w:rsidRDefault="00534910" w:rsidP="00534910">
      <w:pPr>
        <w:pStyle w:val="PargrafodaLista"/>
        <w:numPr>
          <w:ilvl w:val="0"/>
          <w:numId w:val="9"/>
        </w:numPr>
        <w:spacing w:after="200" w:line="360" w:lineRule="auto"/>
        <w:ind w:left="993" w:hanging="477"/>
        <w:contextualSpacing/>
        <w:rPr>
          <w:rFonts w:asciiTheme="minorHAnsi" w:hAnsiTheme="minorHAnsi" w:cstheme="minorHAnsi"/>
          <w:bCs/>
        </w:rPr>
      </w:pPr>
      <w:r w:rsidRPr="004A33C6">
        <w:rPr>
          <w:rFonts w:asciiTheme="minorHAnsi" w:hAnsiTheme="minorHAnsi" w:cstheme="minorHAnsi"/>
          <w:bCs/>
        </w:rPr>
        <w:lastRenderedPageBreak/>
        <w:t>Calcular VBP</w:t>
      </w:r>
      <w:r w:rsidRPr="004A33C6">
        <w:rPr>
          <w:rFonts w:asciiTheme="minorHAnsi" w:hAnsiTheme="minorHAnsi" w:cstheme="minorHAnsi"/>
          <w:bCs/>
          <w:vertAlign w:val="subscript"/>
        </w:rPr>
        <w:t>m-1</w:t>
      </w:r>
      <w:r w:rsidRPr="004A33C6">
        <w:rPr>
          <w:rFonts w:asciiTheme="minorHAnsi" w:hAnsiTheme="minorHAnsi" w:cstheme="minorHAnsi"/>
          <w:bCs/>
        </w:rPr>
        <w:t xml:space="preserve"> (Valor Bruto da Produção do mês anterior “m-1”) de cada CPP, através da fórmula:</w:t>
      </w:r>
    </w:p>
    <w:p w:rsidR="00534910" w:rsidRPr="004A33C6" w:rsidRDefault="00534910" w:rsidP="00534910">
      <w:pPr>
        <w:pStyle w:val="PargrafodaLista"/>
        <w:spacing w:line="360" w:lineRule="auto"/>
        <w:ind w:left="1014"/>
        <w:rPr>
          <w:rFonts w:asciiTheme="minorHAnsi" w:hAnsiTheme="minorHAnsi" w:cstheme="minorHAnsi"/>
          <w:bCs/>
        </w:rPr>
      </w:pPr>
      <w:r w:rsidRPr="004A33C6">
        <w:rPr>
          <w:rFonts w:asciiTheme="minorHAnsi" w:hAnsiTheme="minorHAnsi" w:cstheme="minorHAnsi"/>
          <w:bCs/>
        </w:rPr>
        <w:t>VBP</w:t>
      </w:r>
      <w:r w:rsidRPr="004A33C6">
        <w:rPr>
          <w:rFonts w:asciiTheme="minorHAnsi" w:hAnsiTheme="minorHAnsi" w:cstheme="minorHAnsi"/>
          <w:bCs/>
          <w:vertAlign w:val="subscript"/>
        </w:rPr>
        <w:t>m-1</w:t>
      </w:r>
      <w:r w:rsidRPr="004A33C6">
        <w:rPr>
          <w:rFonts w:asciiTheme="minorHAnsi" w:hAnsiTheme="minorHAnsi" w:cstheme="minorHAnsi"/>
          <w:bCs/>
        </w:rPr>
        <w:t xml:space="preserve"> = VPF</w:t>
      </w:r>
      <w:r w:rsidRPr="004A33C6">
        <w:rPr>
          <w:rFonts w:asciiTheme="minorHAnsi" w:hAnsiTheme="minorHAnsi" w:cstheme="minorHAnsi"/>
          <w:bCs/>
          <w:vertAlign w:val="subscript"/>
        </w:rPr>
        <w:t>p,m-1</w:t>
      </w:r>
      <w:r w:rsidRPr="004A33C6">
        <w:rPr>
          <w:rFonts w:asciiTheme="minorHAnsi" w:hAnsiTheme="minorHAnsi" w:cstheme="minorHAnsi"/>
          <w:bCs/>
        </w:rPr>
        <w:t xml:space="preserve"> . PR</w:t>
      </w:r>
      <w:r w:rsidRPr="004A33C6">
        <w:rPr>
          <w:rFonts w:asciiTheme="minorHAnsi" w:hAnsiTheme="minorHAnsi" w:cstheme="minorHAnsi"/>
          <w:bCs/>
          <w:vertAlign w:val="subscript"/>
        </w:rPr>
        <w:t>p,m-1</w:t>
      </w:r>
      <w:r w:rsidRPr="004A33C6">
        <w:rPr>
          <w:rFonts w:asciiTheme="minorHAnsi" w:hAnsiTheme="minorHAnsi" w:cstheme="minorHAnsi"/>
          <w:bCs/>
        </w:rPr>
        <w:t xml:space="preserve"> + VPF</w:t>
      </w:r>
      <w:r w:rsidRPr="004A33C6">
        <w:rPr>
          <w:rFonts w:asciiTheme="minorHAnsi" w:hAnsiTheme="minorHAnsi" w:cstheme="minorHAnsi"/>
          <w:bCs/>
          <w:vertAlign w:val="subscript"/>
        </w:rPr>
        <w:t>g,m-1</w:t>
      </w:r>
      <w:r w:rsidRPr="004A33C6">
        <w:rPr>
          <w:rFonts w:asciiTheme="minorHAnsi" w:hAnsiTheme="minorHAnsi" w:cstheme="minorHAnsi"/>
          <w:bCs/>
        </w:rPr>
        <w:t xml:space="preserve"> . PR</w:t>
      </w:r>
      <w:r w:rsidRPr="004A33C6">
        <w:rPr>
          <w:rFonts w:asciiTheme="minorHAnsi" w:hAnsiTheme="minorHAnsi" w:cstheme="minorHAnsi"/>
          <w:bCs/>
          <w:vertAlign w:val="subscript"/>
        </w:rPr>
        <w:t>g,m-1</w:t>
      </w:r>
    </w:p>
    <w:p w:rsidR="00534910" w:rsidRPr="004A33C6" w:rsidRDefault="00534910" w:rsidP="00534910">
      <w:pPr>
        <w:pStyle w:val="PargrafodaLista"/>
        <w:spacing w:line="360" w:lineRule="auto"/>
        <w:ind w:left="1028"/>
        <w:rPr>
          <w:rFonts w:asciiTheme="minorHAnsi" w:hAnsiTheme="minorHAnsi" w:cstheme="minorHAnsi"/>
          <w:bCs/>
        </w:rPr>
      </w:pPr>
      <w:r w:rsidRPr="004A33C6">
        <w:rPr>
          <w:rFonts w:asciiTheme="minorHAnsi" w:hAnsiTheme="minorHAnsi" w:cstheme="minorHAnsi"/>
          <w:bCs/>
        </w:rPr>
        <w:t>Em que:</w:t>
      </w:r>
    </w:p>
    <w:p w:rsidR="00534910" w:rsidRPr="004A33C6" w:rsidRDefault="00534910" w:rsidP="00534910">
      <w:pPr>
        <w:pStyle w:val="PargrafodaLista"/>
        <w:spacing w:line="360" w:lineRule="auto"/>
        <w:ind w:left="1419"/>
        <w:rPr>
          <w:rFonts w:asciiTheme="minorHAnsi" w:hAnsiTheme="minorHAnsi" w:cstheme="minorHAnsi"/>
          <w:bCs/>
        </w:rPr>
      </w:pPr>
      <w:r w:rsidRPr="004A33C6">
        <w:rPr>
          <w:rFonts w:asciiTheme="minorHAnsi" w:hAnsiTheme="minorHAnsi" w:cstheme="minorHAnsi"/>
          <w:bCs/>
        </w:rPr>
        <w:t>VBP</w:t>
      </w:r>
      <w:r w:rsidRPr="004A33C6">
        <w:rPr>
          <w:rFonts w:asciiTheme="minorHAnsi" w:hAnsiTheme="minorHAnsi" w:cstheme="minorHAnsi"/>
          <w:bCs/>
          <w:vertAlign w:val="subscript"/>
        </w:rPr>
        <w:t>m-1</w:t>
      </w:r>
      <w:r w:rsidRPr="004A33C6">
        <w:rPr>
          <w:rFonts w:asciiTheme="minorHAnsi" w:hAnsiTheme="minorHAnsi" w:cstheme="minorHAnsi"/>
          <w:bCs/>
        </w:rPr>
        <w:t>: Valor Bruto da Produção do mês “m-1”;</w:t>
      </w:r>
    </w:p>
    <w:p w:rsidR="00534910" w:rsidRPr="004A33C6" w:rsidRDefault="00534910" w:rsidP="00534910">
      <w:pPr>
        <w:pStyle w:val="PargrafodaLista"/>
        <w:spacing w:line="360" w:lineRule="auto"/>
        <w:ind w:left="1419"/>
        <w:rPr>
          <w:rFonts w:asciiTheme="minorHAnsi" w:hAnsiTheme="minorHAnsi" w:cstheme="minorHAnsi"/>
          <w:bCs/>
        </w:rPr>
      </w:pPr>
      <w:r w:rsidRPr="004A33C6">
        <w:rPr>
          <w:rFonts w:asciiTheme="minorHAnsi" w:hAnsiTheme="minorHAnsi" w:cstheme="minorHAnsi"/>
          <w:bCs/>
        </w:rPr>
        <w:t>VPF</w:t>
      </w:r>
      <w:r w:rsidRPr="004A33C6">
        <w:rPr>
          <w:rFonts w:asciiTheme="minorHAnsi" w:hAnsiTheme="minorHAnsi" w:cstheme="minorHAnsi"/>
          <w:bCs/>
          <w:vertAlign w:val="subscript"/>
        </w:rPr>
        <w:t>p,m-1</w:t>
      </w:r>
      <w:r w:rsidRPr="004A33C6">
        <w:rPr>
          <w:rFonts w:asciiTheme="minorHAnsi" w:hAnsiTheme="minorHAnsi" w:cstheme="minorHAnsi"/>
          <w:bCs/>
        </w:rPr>
        <w:t>: Volume da Produção Fiscalizada de petróleo para o mês “m -1”, em metros cúbicos;</w:t>
      </w:r>
    </w:p>
    <w:p w:rsidR="00534910" w:rsidRPr="004A33C6" w:rsidRDefault="00534910" w:rsidP="00534910">
      <w:pPr>
        <w:pStyle w:val="PargrafodaLista"/>
        <w:spacing w:line="360" w:lineRule="auto"/>
        <w:ind w:left="1419"/>
        <w:rPr>
          <w:rFonts w:asciiTheme="minorHAnsi" w:hAnsiTheme="minorHAnsi" w:cstheme="minorHAnsi"/>
          <w:bCs/>
        </w:rPr>
      </w:pPr>
      <w:r w:rsidRPr="004A33C6">
        <w:rPr>
          <w:rFonts w:asciiTheme="minorHAnsi" w:hAnsiTheme="minorHAnsi" w:cstheme="minorHAnsi"/>
          <w:bCs/>
        </w:rPr>
        <w:t>PR</w:t>
      </w:r>
      <w:r w:rsidRPr="004A33C6">
        <w:rPr>
          <w:rFonts w:asciiTheme="minorHAnsi" w:hAnsiTheme="minorHAnsi" w:cstheme="minorHAnsi"/>
          <w:bCs/>
          <w:vertAlign w:val="subscript"/>
        </w:rPr>
        <w:t>p,m-1</w:t>
      </w:r>
      <w:r w:rsidRPr="004A33C6">
        <w:rPr>
          <w:rFonts w:asciiTheme="minorHAnsi" w:hAnsiTheme="minorHAnsi" w:cstheme="minorHAnsi"/>
          <w:bCs/>
        </w:rPr>
        <w:t>: Preço de Referência do Petróleo no mês “m-1”;</w:t>
      </w:r>
    </w:p>
    <w:p w:rsidR="00534910" w:rsidRPr="004A33C6" w:rsidRDefault="00534910" w:rsidP="00534910">
      <w:pPr>
        <w:pStyle w:val="PargrafodaLista"/>
        <w:spacing w:line="360" w:lineRule="auto"/>
        <w:ind w:left="1419"/>
        <w:rPr>
          <w:rFonts w:asciiTheme="minorHAnsi" w:hAnsiTheme="minorHAnsi" w:cstheme="minorHAnsi"/>
          <w:bCs/>
        </w:rPr>
      </w:pPr>
      <w:r w:rsidRPr="004A33C6">
        <w:rPr>
          <w:rFonts w:asciiTheme="minorHAnsi" w:hAnsiTheme="minorHAnsi" w:cstheme="minorHAnsi"/>
          <w:bCs/>
        </w:rPr>
        <w:t>VPF</w:t>
      </w:r>
      <w:r w:rsidRPr="004A33C6">
        <w:rPr>
          <w:rFonts w:asciiTheme="minorHAnsi" w:hAnsiTheme="minorHAnsi" w:cstheme="minorHAnsi"/>
          <w:bCs/>
          <w:vertAlign w:val="subscript"/>
        </w:rPr>
        <w:t>g,m-1</w:t>
      </w:r>
      <w:r w:rsidRPr="004A33C6">
        <w:rPr>
          <w:rFonts w:asciiTheme="minorHAnsi" w:hAnsiTheme="minorHAnsi" w:cstheme="minorHAnsi"/>
          <w:bCs/>
        </w:rPr>
        <w:t>: Volume da Produção Fiscalizada de gás natural no mês “m-1” em metros cúbicos;</w:t>
      </w:r>
    </w:p>
    <w:p w:rsidR="00534910" w:rsidRPr="004A33C6" w:rsidRDefault="00534910" w:rsidP="00534910">
      <w:pPr>
        <w:pStyle w:val="PargrafodaLista"/>
        <w:spacing w:line="360" w:lineRule="auto"/>
        <w:ind w:left="710" w:firstLine="709"/>
        <w:rPr>
          <w:rFonts w:asciiTheme="minorHAnsi" w:hAnsiTheme="minorHAnsi" w:cstheme="minorHAnsi"/>
          <w:bCs/>
        </w:rPr>
      </w:pPr>
      <w:r w:rsidRPr="004A33C6">
        <w:rPr>
          <w:rFonts w:asciiTheme="minorHAnsi" w:hAnsiTheme="minorHAnsi" w:cstheme="minorHAnsi"/>
          <w:bCs/>
        </w:rPr>
        <w:t>PR</w:t>
      </w:r>
      <w:r w:rsidRPr="004A33C6">
        <w:rPr>
          <w:rFonts w:asciiTheme="minorHAnsi" w:hAnsiTheme="minorHAnsi" w:cstheme="minorHAnsi"/>
          <w:bCs/>
          <w:vertAlign w:val="subscript"/>
        </w:rPr>
        <w:t>g,m-1</w:t>
      </w:r>
      <w:r w:rsidRPr="004A33C6">
        <w:rPr>
          <w:rFonts w:asciiTheme="minorHAnsi" w:hAnsiTheme="minorHAnsi" w:cstheme="minorHAnsi"/>
          <w:bCs/>
        </w:rPr>
        <w:t>: Preço de Referência do gás natural produzido no mês “m-1”</w:t>
      </w:r>
    </w:p>
    <w:p w:rsidR="00534910" w:rsidRPr="004A33C6" w:rsidRDefault="00534910" w:rsidP="00534910">
      <w:pPr>
        <w:pStyle w:val="PargrafodaLista"/>
        <w:numPr>
          <w:ilvl w:val="0"/>
          <w:numId w:val="9"/>
        </w:numPr>
        <w:spacing w:line="360" w:lineRule="auto"/>
        <w:ind w:left="993" w:hanging="476"/>
        <w:contextualSpacing/>
        <w:rPr>
          <w:rFonts w:asciiTheme="minorHAnsi" w:hAnsiTheme="minorHAnsi" w:cstheme="minorHAnsi"/>
          <w:bCs/>
        </w:rPr>
      </w:pPr>
      <w:r w:rsidRPr="004A33C6">
        <w:rPr>
          <w:rFonts w:asciiTheme="minorHAnsi" w:hAnsiTheme="minorHAnsi" w:cstheme="minorHAnsi"/>
          <w:bCs/>
        </w:rPr>
        <w:t>Calcular EO</w:t>
      </w:r>
      <w:r w:rsidRPr="004A33C6">
        <w:rPr>
          <w:rFonts w:asciiTheme="minorHAnsi" w:hAnsiTheme="minorHAnsi" w:cstheme="minorHAnsi"/>
          <w:bCs/>
          <w:vertAlign w:val="subscript"/>
        </w:rPr>
        <w:t>m-1</w:t>
      </w:r>
      <w:r w:rsidRPr="004A33C6">
        <w:rPr>
          <w:rFonts w:asciiTheme="minorHAnsi" w:hAnsiTheme="minorHAnsi" w:cstheme="minorHAnsi"/>
          <w:bCs/>
        </w:rPr>
        <w:t xml:space="preserve"> (Excedente em Óleo do mês anterior “m-1”) de cada CPP, através da fórmula:</w:t>
      </w:r>
    </w:p>
    <w:p w:rsidR="00534910" w:rsidRPr="004A33C6" w:rsidRDefault="00534910" w:rsidP="00534910">
      <w:pPr>
        <w:spacing w:line="360" w:lineRule="auto"/>
        <w:ind w:left="993"/>
        <w:rPr>
          <w:rFonts w:cstheme="minorHAnsi"/>
          <w:bCs/>
        </w:rPr>
      </w:pPr>
      <w:r w:rsidRPr="004A33C6">
        <w:rPr>
          <w:rFonts w:cstheme="minorHAnsi"/>
          <w:bCs/>
        </w:rPr>
        <w:t>VBP</w:t>
      </w:r>
      <w:r w:rsidRPr="004A33C6">
        <w:rPr>
          <w:rFonts w:cstheme="minorHAnsi"/>
          <w:bCs/>
          <w:vertAlign w:val="subscript"/>
        </w:rPr>
        <w:t>m-1</w:t>
      </w:r>
      <w:r w:rsidRPr="004A33C6">
        <w:rPr>
          <w:rFonts w:cstheme="minorHAnsi"/>
          <w:bCs/>
        </w:rPr>
        <w:t xml:space="preserve"> – Roy</w:t>
      </w:r>
      <w:r w:rsidRPr="004A33C6">
        <w:rPr>
          <w:rFonts w:cstheme="minorHAnsi"/>
          <w:bCs/>
          <w:vertAlign w:val="subscript"/>
        </w:rPr>
        <w:t>m-1</w:t>
      </w:r>
      <w:r w:rsidRPr="004A33C6">
        <w:rPr>
          <w:rFonts w:cstheme="minorHAnsi"/>
          <w:bCs/>
        </w:rPr>
        <w:t xml:space="preserve"> – MENOR [CO</w:t>
      </w:r>
      <w:r w:rsidRPr="004A33C6">
        <w:rPr>
          <w:rFonts w:cstheme="minorHAnsi"/>
          <w:bCs/>
          <w:vertAlign w:val="subscript"/>
        </w:rPr>
        <w:t>m-1</w:t>
      </w:r>
      <w:r w:rsidRPr="004A33C6">
        <w:rPr>
          <w:rFonts w:cstheme="minorHAnsi"/>
          <w:bCs/>
        </w:rPr>
        <w:t>; NN%*VBP</w:t>
      </w:r>
      <w:r w:rsidRPr="004A33C6">
        <w:rPr>
          <w:rFonts w:cstheme="minorHAnsi"/>
          <w:bCs/>
          <w:vertAlign w:val="subscript"/>
        </w:rPr>
        <w:t>m-1</w:t>
      </w:r>
      <w:r w:rsidRPr="004A33C6">
        <w:rPr>
          <w:rFonts w:cstheme="minorHAnsi"/>
          <w:bCs/>
        </w:rPr>
        <w:t>]</w:t>
      </w:r>
    </w:p>
    <w:p w:rsidR="00534910" w:rsidRPr="004A33C6" w:rsidRDefault="00534910" w:rsidP="00534910">
      <w:pPr>
        <w:spacing w:line="360" w:lineRule="auto"/>
        <w:ind w:left="993"/>
        <w:rPr>
          <w:rFonts w:cstheme="minorHAnsi"/>
          <w:noProof/>
        </w:rPr>
      </w:pPr>
      <w:r w:rsidRPr="004A33C6">
        <w:rPr>
          <w:rFonts w:cstheme="minorHAnsi"/>
          <w:noProof/>
        </w:rPr>
        <w:t>Em que:</w:t>
      </w:r>
    </w:p>
    <w:p w:rsidR="00534910" w:rsidRPr="004A33C6" w:rsidRDefault="00534910" w:rsidP="00534910">
      <w:pPr>
        <w:spacing w:line="360" w:lineRule="auto"/>
        <w:ind w:left="1419"/>
        <w:rPr>
          <w:rFonts w:cstheme="minorHAnsi"/>
          <w:noProof/>
        </w:rPr>
      </w:pPr>
      <w:r w:rsidRPr="004A33C6">
        <w:rPr>
          <w:rFonts w:cstheme="minorHAnsi"/>
          <w:noProof/>
        </w:rPr>
        <w:t>VBP</w:t>
      </w:r>
      <w:r w:rsidRPr="004A33C6">
        <w:rPr>
          <w:rFonts w:cstheme="minorHAnsi"/>
          <w:noProof/>
          <w:vertAlign w:val="subscript"/>
        </w:rPr>
        <w:t>m-1</w:t>
      </w:r>
      <w:r w:rsidRPr="004A33C6">
        <w:rPr>
          <w:rFonts w:cstheme="minorHAnsi"/>
          <w:noProof/>
        </w:rPr>
        <w:t xml:space="preserve"> = Valor Bruto da Produção no mês imediatamente anterior;</w:t>
      </w:r>
    </w:p>
    <w:p w:rsidR="00534910" w:rsidRPr="004A33C6" w:rsidRDefault="00534910" w:rsidP="00534910">
      <w:pPr>
        <w:spacing w:line="360" w:lineRule="auto"/>
        <w:ind w:left="1419"/>
        <w:rPr>
          <w:rFonts w:cstheme="minorHAnsi"/>
          <w:noProof/>
        </w:rPr>
      </w:pPr>
      <w:r w:rsidRPr="004A33C6">
        <w:rPr>
          <w:rFonts w:cstheme="minorHAnsi"/>
          <w:noProof/>
        </w:rPr>
        <w:t>Roy</w:t>
      </w:r>
      <w:r w:rsidRPr="004A33C6">
        <w:rPr>
          <w:rFonts w:cstheme="minorHAnsi"/>
          <w:noProof/>
          <w:vertAlign w:val="subscript"/>
        </w:rPr>
        <w:t>m-1</w:t>
      </w:r>
      <w:r w:rsidRPr="004A33C6">
        <w:rPr>
          <w:rFonts w:cstheme="minorHAnsi"/>
          <w:noProof/>
        </w:rPr>
        <w:t xml:space="preserve"> = total de royalties recolhidos pelos Contratados no mês imediatamente anterior;</w:t>
      </w:r>
    </w:p>
    <w:p w:rsidR="00534910" w:rsidRPr="004A33C6" w:rsidRDefault="00534910" w:rsidP="00534910">
      <w:pPr>
        <w:spacing w:line="360" w:lineRule="auto"/>
        <w:ind w:left="1419"/>
        <w:rPr>
          <w:rFonts w:cstheme="minorHAnsi"/>
          <w:bCs/>
        </w:rPr>
      </w:pPr>
      <w:r w:rsidRPr="004A33C6">
        <w:rPr>
          <w:rFonts w:cstheme="minorHAnsi"/>
          <w:bCs/>
        </w:rPr>
        <w:t>CO</w:t>
      </w:r>
      <w:r w:rsidRPr="004A33C6">
        <w:rPr>
          <w:rFonts w:cstheme="minorHAnsi"/>
          <w:bCs/>
          <w:vertAlign w:val="subscript"/>
        </w:rPr>
        <w:t>m-1</w:t>
      </w:r>
      <w:r w:rsidRPr="004A33C6">
        <w:rPr>
          <w:rFonts w:cstheme="minorHAnsi"/>
          <w:bCs/>
        </w:rPr>
        <w:t xml:space="preserve"> = saldo acumulado da conta Custo em Óleo até o final do mês imediatamente anterior</w:t>
      </w:r>
    </w:p>
    <w:p w:rsidR="00534910" w:rsidRPr="004A33C6" w:rsidRDefault="00534910" w:rsidP="00534910">
      <w:pPr>
        <w:spacing w:line="360" w:lineRule="auto"/>
        <w:ind w:left="993" w:firstLine="426"/>
        <w:rPr>
          <w:rFonts w:cstheme="minorHAnsi"/>
          <w:bCs/>
        </w:rPr>
      </w:pPr>
      <w:r w:rsidRPr="004A33C6">
        <w:rPr>
          <w:rFonts w:cstheme="minorHAnsi"/>
          <w:bCs/>
        </w:rPr>
        <w:t>NN = limite mensal para recuperação do Custo em Óleo;</w:t>
      </w:r>
    </w:p>
    <w:p w:rsidR="00534910" w:rsidRPr="004A33C6" w:rsidRDefault="00534910" w:rsidP="00534910">
      <w:pPr>
        <w:pStyle w:val="PargrafodaLista"/>
        <w:numPr>
          <w:ilvl w:val="0"/>
          <w:numId w:val="9"/>
        </w:numPr>
        <w:spacing w:line="360" w:lineRule="auto"/>
        <w:ind w:left="993" w:hanging="476"/>
        <w:contextualSpacing/>
        <w:rPr>
          <w:rFonts w:asciiTheme="minorHAnsi" w:hAnsiTheme="minorHAnsi" w:cstheme="minorHAnsi"/>
        </w:rPr>
      </w:pPr>
      <w:r w:rsidRPr="004A33C6">
        <w:rPr>
          <w:rFonts w:asciiTheme="minorHAnsi" w:hAnsiTheme="minorHAnsi" w:cstheme="minorHAnsi"/>
        </w:rPr>
        <w:t xml:space="preserve">Identificar </w:t>
      </w:r>
      <w:r w:rsidRPr="004A33C6">
        <w:rPr>
          <w:rFonts w:ascii="MS Gothic" w:eastAsia="MS Gothic" w:hAnsi="MS Gothic" w:cs="MS Gothic"/>
        </w:rPr>
        <w:t> </w:t>
      </w:r>
      <w:r w:rsidRPr="004A33C6">
        <w:rPr>
          <w:rFonts w:asciiTheme="minorHAnsi" w:hAnsiTheme="minorHAnsi" w:cstheme="minorHAnsi"/>
        </w:rPr>
        <w:t>Ali</w:t>
      </w:r>
      <w:r w:rsidRPr="004A33C6">
        <w:rPr>
          <w:rFonts w:asciiTheme="minorHAnsi" w:hAnsiTheme="minorHAnsi" w:cstheme="minorHAnsi"/>
          <w:vertAlign w:val="subscript"/>
        </w:rPr>
        <w:t>m-1</w:t>
      </w:r>
      <w:r w:rsidRPr="004A33C6">
        <w:rPr>
          <w:rFonts w:asciiTheme="minorHAnsi" w:hAnsiTheme="minorHAnsi" w:cstheme="minorHAnsi"/>
        </w:rPr>
        <w:t xml:space="preserve"> (alíquota da partilha do Excedente em Óleo do mês anterior “m-1”) de cada CPP</w:t>
      </w:r>
    </w:p>
    <w:p w:rsidR="00534910" w:rsidRPr="004A33C6" w:rsidRDefault="00534910" w:rsidP="00534910">
      <w:pPr>
        <w:spacing w:line="360" w:lineRule="auto"/>
        <w:ind w:left="290" w:firstLine="264"/>
        <w:jc w:val="both"/>
        <w:rPr>
          <w:rFonts w:cstheme="minorHAnsi"/>
        </w:rPr>
      </w:pPr>
      <w:r w:rsidRPr="004A33C6">
        <w:rPr>
          <w:rFonts w:cstheme="minorHAnsi"/>
        </w:rPr>
        <w:t>A alíquota da partilha do Excedente em Óleo é calculada com base na Tabela “Parcela da União do Excedente em Óleo”, conforme exemplo ilustrativo da tabela utilizada no CPP de Libra - Capítulo II do Regime de Partilha da Produção – Cláusula Nona – Partilha do Excedente em Óleo:</w:t>
      </w:r>
    </w:p>
    <w:p w:rsidR="00534910" w:rsidRPr="004A33C6" w:rsidRDefault="00534910" w:rsidP="00534910">
      <w:r w:rsidRPr="004A33C6">
        <w:rPr>
          <w:rFonts w:cstheme="minorHAnsi"/>
          <w:noProof/>
          <w:lang w:eastAsia="pt-BR"/>
        </w:rPr>
        <w:drawing>
          <wp:inline distT="0" distB="0" distL="0" distR="0" wp14:anchorId="2FA800B7" wp14:editId="5B3043B2">
            <wp:extent cx="5400040" cy="1638607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16386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D0FC0" w:rsidRPr="004A33C6" w:rsidRDefault="00AD0FC0" w:rsidP="00322C6B">
      <w:pPr>
        <w:spacing w:after="240"/>
        <w:ind w:left="22"/>
        <w:jc w:val="both"/>
      </w:pPr>
    </w:p>
    <w:p w:rsidR="004C29A1" w:rsidRPr="004A33C6" w:rsidRDefault="004C29A1" w:rsidP="00322C6B">
      <w:pPr>
        <w:spacing w:after="240"/>
        <w:ind w:left="22"/>
        <w:jc w:val="both"/>
      </w:pPr>
    </w:p>
    <w:p w:rsidR="004C29A1" w:rsidRPr="004A33C6" w:rsidRDefault="004C29A1">
      <w:pPr>
        <w:spacing w:after="160" w:line="259" w:lineRule="auto"/>
      </w:pPr>
      <w:r w:rsidRPr="004A33C6">
        <w:br w:type="page"/>
      </w:r>
    </w:p>
    <w:p w:rsidR="004C29A1" w:rsidRPr="004A33C6" w:rsidRDefault="004C29A1" w:rsidP="004C29A1">
      <w:pPr>
        <w:spacing w:after="240"/>
        <w:ind w:left="22"/>
        <w:jc w:val="both"/>
        <w:rPr>
          <w:b/>
          <w:sz w:val="28"/>
          <w:szCs w:val="28"/>
        </w:rPr>
      </w:pPr>
      <w:r w:rsidRPr="004A33C6">
        <w:rPr>
          <w:b/>
          <w:sz w:val="28"/>
          <w:szCs w:val="28"/>
        </w:rPr>
        <w:t xml:space="preserve">Anexo </w:t>
      </w:r>
      <w:r w:rsidR="0011668D" w:rsidRPr="004A33C6">
        <w:rPr>
          <w:b/>
          <w:sz w:val="28"/>
          <w:szCs w:val="28"/>
        </w:rPr>
        <w:t>5.3</w:t>
      </w:r>
      <w:r w:rsidRPr="004A33C6">
        <w:rPr>
          <w:b/>
          <w:sz w:val="28"/>
          <w:szCs w:val="28"/>
        </w:rPr>
        <w:t>:</w:t>
      </w:r>
    </w:p>
    <w:p w:rsidR="004C29A1" w:rsidRPr="004A33C6" w:rsidRDefault="004C29A1" w:rsidP="004C29A1">
      <w:pPr>
        <w:spacing w:after="240"/>
        <w:ind w:left="22"/>
        <w:jc w:val="center"/>
        <w:rPr>
          <w:b/>
          <w:sz w:val="24"/>
          <w:szCs w:val="24"/>
        </w:rPr>
      </w:pPr>
      <w:r w:rsidRPr="004A33C6">
        <w:rPr>
          <w:b/>
          <w:sz w:val="24"/>
          <w:szCs w:val="24"/>
        </w:rPr>
        <w:t>Telas de Preço de Referência de Óleo e Gás</w:t>
      </w:r>
    </w:p>
    <w:p w:rsidR="00AD0FC0" w:rsidRDefault="00AD0FC0" w:rsidP="00322C6B">
      <w:pPr>
        <w:spacing w:after="240"/>
        <w:ind w:left="22"/>
        <w:jc w:val="both"/>
      </w:pPr>
    </w:p>
    <w:p w:rsidR="004C29A1" w:rsidRDefault="00CE1EFF" w:rsidP="00322C6B">
      <w:pPr>
        <w:spacing w:after="240"/>
        <w:ind w:left="22"/>
        <w:jc w:val="both"/>
      </w:pPr>
      <w:r>
        <w:object w:dxaOrig="9795" w:dyaOrig="11790">
          <v:shape id="_x0000_i1026" type="#_x0000_t75" style="width:425pt;height:511.5pt" o:ole="">
            <v:imagedata r:id="rId8" o:title=""/>
          </v:shape>
          <o:OLEObject Type="Embed" ProgID="Visio.Drawing.15" ShapeID="_x0000_i1026" DrawAspect="Content" ObjectID="_1579428343" r:id="rId9"/>
        </w:object>
      </w:r>
    </w:p>
    <w:p w:rsidR="004C29A1" w:rsidRDefault="004C29A1" w:rsidP="00322C6B">
      <w:pPr>
        <w:spacing w:after="240"/>
        <w:ind w:left="22"/>
        <w:jc w:val="both"/>
      </w:pPr>
    </w:p>
    <w:p w:rsidR="004C29A1" w:rsidRDefault="004C29A1">
      <w:pPr>
        <w:spacing w:after="160" w:line="259" w:lineRule="auto"/>
      </w:pPr>
      <w:r>
        <w:br w:type="page"/>
      </w:r>
    </w:p>
    <w:p w:rsidR="00CE1EFF" w:rsidRPr="004A33C6" w:rsidRDefault="00CE1EFF" w:rsidP="00CE1EFF">
      <w:pPr>
        <w:spacing w:after="240"/>
        <w:ind w:left="22"/>
        <w:jc w:val="center"/>
        <w:rPr>
          <w:b/>
          <w:sz w:val="24"/>
          <w:szCs w:val="24"/>
        </w:rPr>
      </w:pPr>
      <w:r w:rsidRPr="004A33C6">
        <w:rPr>
          <w:b/>
          <w:sz w:val="24"/>
          <w:szCs w:val="24"/>
        </w:rPr>
        <w:t xml:space="preserve">Telas de </w:t>
      </w:r>
      <w:r>
        <w:rPr>
          <w:b/>
          <w:sz w:val="24"/>
          <w:szCs w:val="24"/>
        </w:rPr>
        <w:t>Rotina de Cálculo Automático</w:t>
      </w:r>
    </w:p>
    <w:p w:rsidR="00CE1EFF" w:rsidRDefault="00CE1EFF" w:rsidP="00CE1EFF">
      <w:pPr>
        <w:spacing w:after="240"/>
        <w:ind w:left="22"/>
        <w:jc w:val="both"/>
      </w:pPr>
    </w:p>
    <w:p w:rsidR="00CE1EFF" w:rsidRDefault="00CE1EFF" w:rsidP="00CE1EFF">
      <w:pPr>
        <w:spacing w:after="240"/>
        <w:ind w:left="22"/>
        <w:jc w:val="both"/>
      </w:pPr>
      <w:r>
        <w:object w:dxaOrig="9255" w:dyaOrig="6945">
          <v:shape id="_x0000_i1027" type="#_x0000_t75" style="width:424.5pt;height:318.85pt" o:ole="">
            <v:imagedata r:id="rId10" o:title=""/>
          </v:shape>
          <o:OLEObject Type="Embed" ProgID="Visio.Drawing.15" ShapeID="_x0000_i1027" DrawAspect="Content" ObjectID="_1579428344" r:id="rId11"/>
        </w:object>
      </w:r>
    </w:p>
    <w:p w:rsidR="00CE1EFF" w:rsidRDefault="00CE1EFF" w:rsidP="00CE1EFF">
      <w:pPr>
        <w:spacing w:after="240"/>
        <w:ind w:left="22"/>
        <w:jc w:val="both"/>
      </w:pPr>
    </w:p>
    <w:p w:rsidR="00CE1EFF" w:rsidRDefault="00CE1EFF" w:rsidP="00CE1EFF">
      <w:pPr>
        <w:spacing w:after="160" w:line="259" w:lineRule="auto"/>
      </w:pPr>
      <w:r>
        <w:br w:type="page"/>
      </w:r>
    </w:p>
    <w:p w:rsidR="00CE1EFF" w:rsidRPr="004A33C6" w:rsidRDefault="00CE1EFF" w:rsidP="00CE1EFF">
      <w:pPr>
        <w:spacing w:after="240"/>
        <w:ind w:left="22"/>
        <w:jc w:val="center"/>
        <w:rPr>
          <w:b/>
          <w:sz w:val="24"/>
          <w:szCs w:val="24"/>
        </w:rPr>
      </w:pPr>
      <w:r w:rsidRPr="004A33C6">
        <w:rPr>
          <w:b/>
          <w:sz w:val="24"/>
          <w:szCs w:val="24"/>
        </w:rPr>
        <w:t xml:space="preserve">Telas de </w:t>
      </w:r>
      <w:r>
        <w:rPr>
          <w:b/>
          <w:sz w:val="24"/>
          <w:szCs w:val="24"/>
        </w:rPr>
        <w:t>E-mail Automático</w:t>
      </w:r>
    </w:p>
    <w:p w:rsidR="00CE1EFF" w:rsidRDefault="00CE1EFF" w:rsidP="00CE1EFF">
      <w:pPr>
        <w:spacing w:after="240"/>
        <w:ind w:left="22"/>
        <w:jc w:val="both"/>
      </w:pPr>
    </w:p>
    <w:p w:rsidR="00CE1EFF" w:rsidRDefault="00CE1EFF" w:rsidP="00CE1EFF">
      <w:pPr>
        <w:spacing w:after="240"/>
        <w:ind w:left="22"/>
        <w:jc w:val="both"/>
      </w:pPr>
      <w:r>
        <w:object w:dxaOrig="8205" w:dyaOrig="6750">
          <v:shape id="_x0000_i1028" type="#_x0000_t75" style="width:410.95pt;height:337.55pt" o:ole="">
            <v:imagedata r:id="rId12" o:title=""/>
          </v:shape>
          <o:OLEObject Type="Embed" ProgID="Visio.Drawing.15" ShapeID="_x0000_i1028" DrawAspect="Content" ObjectID="_1579428345" r:id="rId13"/>
        </w:object>
      </w:r>
    </w:p>
    <w:p w:rsidR="00CE1EFF" w:rsidRDefault="00CE1EFF" w:rsidP="00CE1EFF">
      <w:pPr>
        <w:spacing w:after="240"/>
        <w:ind w:left="22"/>
        <w:jc w:val="both"/>
      </w:pPr>
    </w:p>
    <w:p w:rsidR="00CE1EFF" w:rsidRDefault="00CE1EFF" w:rsidP="00CE1EFF">
      <w:pPr>
        <w:spacing w:after="240"/>
        <w:ind w:left="22"/>
        <w:jc w:val="both"/>
      </w:pPr>
    </w:p>
    <w:p w:rsidR="00CE1EFF" w:rsidRDefault="00CE1EFF" w:rsidP="00CE1EFF">
      <w:pPr>
        <w:spacing w:after="160" w:line="259" w:lineRule="auto"/>
      </w:pPr>
      <w:r>
        <w:br w:type="page"/>
      </w:r>
    </w:p>
    <w:p w:rsidR="006D2884" w:rsidRPr="004A33C6" w:rsidRDefault="006D2884" w:rsidP="006D2884">
      <w:pPr>
        <w:spacing w:after="240"/>
        <w:ind w:left="22"/>
        <w:jc w:val="both"/>
        <w:rPr>
          <w:b/>
          <w:sz w:val="28"/>
          <w:szCs w:val="28"/>
        </w:rPr>
      </w:pPr>
      <w:r w:rsidRPr="004A33C6">
        <w:rPr>
          <w:b/>
          <w:sz w:val="28"/>
          <w:szCs w:val="28"/>
        </w:rPr>
        <w:t>Anexo 5.4:</w:t>
      </w:r>
    </w:p>
    <w:p w:rsidR="006D2884" w:rsidRPr="004A33C6" w:rsidRDefault="006D2884" w:rsidP="006D2884">
      <w:pPr>
        <w:spacing w:after="240"/>
        <w:ind w:left="22"/>
        <w:jc w:val="center"/>
        <w:rPr>
          <w:b/>
          <w:sz w:val="24"/>
          <w:szCs w:val="24"/>
        </w:rPr>
      </w:pPr>
      <w:r w:rsidRPr="004A33C6">
        <w:rPr>
          <w:b/>
          <w:sz w:val="24"/>
          <w:szCs w:val="24"/>
        </w:rPr>
        <w:t xml:space="preserve">Diagrama de </w:t>
      </w:r>
      <w:r w:rsidR="00360B10" w:rsidRPr="004A33C6">
        <w:rPr>
          <w:b/>
          <w:sz w:val="24"/>
          <w:szCs w:val="24"/>
        </w:rPr>
        <w:t>Relacionamento das Classes</w:t>
      </w:r>
    </w:p>
    <w:p w:rsidR="00DE440E" w:rsidRDefault="00DE440E" w:rsidP="00322C6B">
      <w:pPr>
        <w:spacing w:after="240"/>
        <w:ind w:left="22"/>
        <w:jc w:val="both"/>
      </w:pPr>
    </w:p>
    <w:p w:rsidR="00D6521E" w:rsidRDefault="00E7183F" w:rsidP="00322C6B">
      <w:pPr>
        <w:spacing w:after="240"/>
        <w:ind w:left="22"/>
        <w:jc w:val="both"/>
      </w:pPr>
      <w:r>
        <w:object w:dxaOrig="10966" w:dyaOrig="11265">
          <v:shape id="_x0000_i1029" type="#_x0000_t75" style="width:425.45pt;height:436.7pt" o:ole="">
            <v:imagedata r:id="rId14" o:title=""/>
          </v:shape>
          <o:OLEObject Type="Embed" ProgID="Visio.Drawing.15" ShapeID="_x0000_i1029" DrawAspect="Content" ObjectID="_1579428346" r:id="rId15"/>
        </w:object>
      </w:r>
    </w:p>
    <w:p w:rsidR="00E7183F" w:rsidRDefault="00E7183F" w:rsidP="00322C6B">
      <w:pPr>
        <w:spacing w:after="240"/>
        <w:ind w:left="22"/>
        <w:jc w:val="both"/>
      </w:pPr>
    </w:p>
    <w:sectPr w:rsidR="00E7183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115483"/>
    <w:multiLevelType w:val="hybridMultilevel"/>
    <w:tmpl w:val="EEACF066"/>
    <w:lvl w:ilvl="0" w:tplc="3BEE78B4">
      <w:start w:val="1"/>
      <w:numFmt w:val="lowerRoman"/>
      <w:lvlText w:val="%1."/>
      <w:lvlJc w:val="left"/>
      <w:pPr>
        <w:ind w:left="1944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304" w:hanging="360"/>
      </w:pPr>
    </w:lvl>
    <w:lvl w:ilvl="2" w:tplc="0416001B" w:tentative="1">
      <w:start w:val="1"/>
      <w:numFmt w:val="lowerRoman"/>
      <w:lvlText w:val="%3."/>
      <w:lvlJc w:val="right"/>
      <w:pPr>
        <w:ind w:left="3024" w:hanging="180"/>
      </w:pPr>
    </w:lvl>
    <w:lvl w:ilvl="3" w:tplc="0416000F" w:tentative="1">
      <w:start w:val="1"/>
      <w:numFmt w:val="decimal"/>
      <w:lvlText w:val="%4."/>
      <w:lvlJc w:val="left"/>
      <w:pPr>
        <w:ind w:left="3744" w:hanging="360"/>
      </w:pPr>
    </w:lvl>
    <w:lvl w:ilvl="4" w:tplc="04160019" w:tentative="1">
      <w:start w:val="1"/>
      <w:numFmt w:val="lowerLetter"/>
      <w:lvlText w:val="%5."/>
      <w:lvlJc w:val="left"/>
      <w:pPr>
        <w:ind w:left="4464" w:hanging="360"/>
      </w:pPr>
    </w:lvl>
    <w:lvl w:ilvl="5" w:tplc="0416001B" w:tentative="1">
      <w:start w:val="1"/>
      <w:numFmt w:val="lowerRoman"/>
      <w:lvlText w:val="%6."/>
      <w:lvlJc w:val="right"/>
      <w:pPr>
        <w:ind w:left="5184" w:hanging="180"/>
      </w:pPr>
    </w:lvl>
    <w:lvl w:ilvl="6" w:tplc="0416000F" w:tentative="1">
      <w:start w:val="1"/>
      <w:numFmt w:val="decimal"/>
      <w:lvlText w:val="%7."/>
      <w:lvlJc w:val="left"/>
      <w:pPr>
        <w:ind w:left="5904" w:hanging="360"/>
      </w:pPr>
    </w:lvl>
    <w:lvl w:ilvl="7" w:tplc="04160019" w:tentative="1">
      <w:start w:val="1"/>
      <w:numFmt w:val="lowerLetter"/>
      <w:lvlText w:val="%8."/>
      <w:lvlJc w:val="left"/>
      <w:pPr>
        <w:ind w:left="6624" w:hanging="360"/>
      </w:pPr>
    </w:lvl>
    <w:lvl w:ilvl="8" w:tplc="0416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1" w15:restartNumberingAfterBreak="0">
    <w:nsid w:val="2E290ADA"/>
    <w:multiLevelType w:val="hybridMultilevel"/>
    <w:tmpl w:val="0EE27B52"/>
    <w:lvl w:ilvl="0" w:tplc="0416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3912315F"/>
    <w:multiLevelType w:val="hybridMultilevel"/>
    <w:tmpl w:val="18C0FA4E"/>
    <w:lvl w:ilvl="0" w:tplc="9E6C215C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37" w:hanging="360"/>
      </w:pPr>
    </w:lvl>
    <w:lvl w:ilvl="2" w:tplc="0416001B" w:tentative="1">
      <w:start w:val="1"/>
      <w:numFmt w:val="lowerRoman"/>
      <w:lvlText w:val="%3."/>
      <w:lvlJc w:val="right"/>
      <w:pPr>
        <w:ind w:left="2157" w:hanging="180"/>
      </w:pPr>
    </w:lvl>
    <w:lvl w:ilvl="3" w:tplc="0416000F" w:tentative="1">
      <w:start w:val="1"/>
      <w:numFmt w:val="decimal"/>
      <w:lvlText w:val="%4."/>
      <w:lvlJc w:val="left"/>
      <w:pPr>
        <w:ind w:left="2877" w:hanging="360"/>
      </w:pPr>
    </w:lvl>
    <w:lvl w:ilvl="4" w:tplc="04160019" w:tentative="1">
      <w:start w:val="1"/>
      <w:numFmt w:val="lowerLetter"/>
      <w:lvlText w:val="%5."/>
      <w:lvlJc w:val="left"/>
      <w:pPr>
        <w:ind w:left="3597" w:hanging="360"/>
      </w:pPr>
    </w:lvl>
    <w:lvl w:ilvl="5" w:tplc="0416001B" w:tentative="1">
      <w:start w:val="1"/>
      <w:numFmt w:val="lowerRoman"/>
      <w:lvlText w:val="%6."/>
      <w:lvlJc w:val="right"/>
      <w:pPr>
        <w:ind w:left="4317" w:hanging="180"/>
      </w:pPr>
    </w:lvl>
    <w:lvl w:ilvl="6" w:tplc="0416000F" w:tentative="1">
      <w:start w:val="1"/>
      <w:numFmt w:val="decimal"/>
      <w:lvlText w:val="%7."/>
      <w:lvlJc w:val="left"/>
      <w:pPr>
        <w:ind w:left="5037" w:hanging="360"/>
      </w:pPr>
    </w:lvl>
    <w:lvl w:ilvl="7" w:tplc="04160019" w:tentative="1">
      <w:start w:val="1"/>
      <w:numFmt w:val="lowerLetter"/>
      <w:lvlText w:val="%8."/>
      <w:lvlJc w:val="left"/>
      <w:pPr>
        <w:ind w:left="5757" w:hanging="360"/>
      </w:pPr>
    </w:lvl>
    <w:lvl w:ilvl="8" w:tplc="0416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 w15:restartNumberingAfterBreak="0">
    <w:nsid w:val="406C304A"/>
    <w:multiLevelType w:val="hybridMultilevel"/>
    <w:tmpl w:val="77266FAE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95687B"/>
    <w:multiLevelType w:val="hybridMultilevel"/>
    <w:tmpl w:val="1814150A"/>
    <w:lvl w:ilvl="0" w:tplc="0416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5" w15:restartNumberingAfterBreak="0">
    <w:nsid w:val="516E204B"/>
    <w:multiLevelType w:val="hybridMultilevel"/>
    <w:tmpl w:val="77266FAE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660421"/>
    <w:multiLevelType w:val="multilevel"/>
    <w:tmpl w:val="C8D4F2C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Style3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5DD87B70"/>
    <w:multiLevelType w:val="hybridMultilevel"/>
    <w:tmpl w:val="88A46D7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8616F6D"/>
    <w:multiLevelType w:val="hybridMultilevel"/>
    <w:tmpl w:val="A044D86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8"/>
  </w:num>
  <w:num w:numId="4">
    <w:abstractNumId w:val="1"/>
  </w:num>
  <w:num w:numId="5">
    <w:abstractNumId w:val="5"/>
  </w:num>
  <w:num w:numId="6">
    <w:abstractNumId w:val="2"/>
  </w:num>
  <w:num w:numId="7">
    <w:abstractNumId w:val="4"/>
  </w:num>
  <w:num w:numId="8">
    <w:abstractNumId w:val="6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2C6B"/>
    <w:rsid w:val="00046A4A"/>
    <w:rsid w:val="00090AF5"/>
    <w:rsid w:val="000A47A2"/>
    <w:rsid w:val="000B0B42"/>
    <w:rsid w:val="000B1E10"/>
    <w:rsid w:val="000E42FC"/>
    <w:rsid w:val="0011668D"/>
    <w:rsid w:val="001851D7"/>
    <w:rsid w:val="001D7603"/>
    <w:rsid w:val="001E0AFE"/>
    <w:rsid w:val="0021609B"/>
    <w:rsid w:val="0025133B"/>
    <w:rsid w:val="00322C6B"/>
    <w:rsid w:val="00360B10"/>
    <w:rsid w:val="00365748"/>
    <w:rsid w:val="003E0EE3"/>
    <w:rsid w:val="004253F1"/>
    <w:rsid w:val="00452296"/>
    <w:rsid w:val="00465464"/>
    <w:rsid w:val="004A33C6"/>
    <w:rsid w:val="004C29A1"/>
    <w:rsid w:val="00534910"/>
    <w:rsid w:val="00544EF5"/>
    <w:rsid w:val="0054741E"/>
    <w:rsid w:val="00585607"/>
    <w:rsid w:val="00591884"/>
    <w:rsid w:val="005B03F1"/>
    <w:rsid w:val="005C7C14"/>
    <w:rsid w:val="00610B1E"/>
    <w:rsid w:val="006418C2"/>
    <w:rsid w:val="00653B31"/>
    <w:rsid w:val="006D2884"/>
    <w:rsid w:val="007520B1"/>
    <w:rsid w:val="00760C72"/>
    <w:rsid w:val="0078241C"/>
    <w:rsid w:val="0078534C"/>
    <w:rsid w:val="007F680E"/>
    <w:rsid w:val="0081661A"/>
    <w:rsid w:val="00845E6C"/>
    <w:rsid w:val="00A277FF"/>
    <w:rsid w:val="00A6265B"/>
    <w:rsid w:val="00A84D8D"/>
    <w:rsid w:val="00AD0FC0"/>
    <w:rsid w:val="00AD6C54"/>
    <w:rsid w:val="00B27DEF"/>
    <w:rsid w:val="00B812BC"/>
    <w:rsid w:val="00BB2C32"/>
    <w:rsid w:val="00BB665F"/>
    <w:rsid w:val="00C02562"/>
    <w:rsid w:val="00C420D9"/>
    <w:rsid w:val="00C53A3C"/>
    <w:rsid w:val="00C7692D"/>
    <w:rsid w:val="00C91A79"/>
    <w:rsid w:val="00CD533C"/>
    <w:rsid w:val="00CE1EFF"/>
    <w:rsid w:val="00D45C72"/>
    <w:rsid w:val="00D6521E"/>
    <w:rsid w:val="00DC56B9"/>
    <w:rsid w:val="00DE440E"/>
    <w:rsid w:val="00E7183F"/>
    <w:rsid w:val="00F569C3"/>
    <w:rsid w:val="00FD0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1E9342-879F-4700-A958-0DDDC4FCE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2C6B"/>
    <w:pPr>
      <w:spacing w:after="200" w:line="276" w:lineRule="auto"/>
    </w:pPr>
  </w:style>
  <w:style w:type="paragraph" w:styleId="Ttulo1">
    <w:name w:val="heading 1"/>
    <w:basedOn w:val="Normal"/>
    <w:next w:val="Normal"/>
    <w:link w:val="Ttulo1Char"/>
    <w:uiPriority w:val="9"/>
    <w:qFormat/>
    <w:rsid w:val="00322C6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322C6B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table" w:customStyle="1" w:styleId="TableGrid">
    <w:name w:val="TableGrid"/>
    <w:rsid w:val="00322C6B"/>
    <w:pPr>
      <w:spacing w:after="0" w:line="240" w:lineRule="auto"/>
    </w:pPr>
    <w:rPr>
      <w:rFonts w:eastAsiaTheme="minorEastAsia"/>
      <w:lang w:eastAsia="pt-B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grafodaLista">
    <w:name w:val="List Paragraph"/>
    <w:basedOn w:val="Normal"/>
    <w:link w:val="PargrafodaListaChar"/>
    <w:uiPriority w:val="34"/>
    <w:qFormat/>
    <w:rsid w:val="00322C6B"/>
    <w:pPr>
      <w:spacing w:after="0" w:line="240" w:lineRule="auto"/>
      <w:ind w:left="720"/>
    </w:pPr>
    <w:rPr>
      <w:rFonts w:ascii="Calibri" w:hAnsi="Calibri" w:cs="Times New Roman"/>
      <w:lang w:eastAsia="pt-BR"/>
    </w:rPr>
  </w:style>
  <w:style w:type="character" w:customStyle="1" w:styleId="PargrafodaListaChar">
    <w:name w:val="Parágrafo da Lista Char"/>
    <w:link w:val="PargrafodaLista"/>
    <w:uiPriority w:val="34"/>
    <w:locked/>
    <w:rsid w:val="00322C6B"/>
    <w:rPr>
      <w:rFonts w:ascii="Calibri" w:hAnsi="Calibri" w:cs="Times New Roman"/>
      <w:lang w:eastAsia="pt-BR"/>
    </w:rPr>
  </w:style>
  <w:style w:type="paragraph" w:customStyle="1" w:styleId="Style3">
    <w:name w:val="Style3"/>
    <w:basedOn w:val="PargrafodaLista"/>
    <w:link w:val="Style3Char"/>
    <w:qFormat/>
    <w:rsid w:val="00534910"/>
    <w:pPr>
      <w:numPr>
        <w:ilvl w:val="2"/>
        <w:numId w:val="8"/>
      </w:numPr>
      <w:spacing w:before="240" w:after="240" w:line="360" w:lineRule="auto"/>
      <w:contextualSpacing/>
      <w:jc w:val="both"/>
    </w:pPr>
    <w:rPr>
      <w:rFonts w:ascii="Times New Roman" w:hAnsi="Times New Roman" w:cstheme="minorHAnsi"/>
      <w:sz w:val="24"/>
      <w:szCs w:val="24"/>
    </w:rPr>
  </w:style>
  <w:style w:type="character" w:customStyle="1" w:styleId="Style3Char">
    <w:name w:val="Style3 Char"/>
    <w:basedOn w:val="PargrafodaListaChar"/>
    <w:link w:val="Style3"/>
    <w:rsid w:val="00534910"/>
    <w:rPr>
      <w:rFonts w:ascii="Times New Roman" w:hAnsi="Times New Roman" w:cstheme="minorHAnsi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206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package" Target="embeddings/Microsoft_Visio_Drawing444.vsdx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image" Target="media/image5.emf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package" Target="embeddings/Microsoft_Visio_Drawing111.vsdx"/><Relationship Id="rId11" Type="http://schemas.openxmlformats.org/officeDocument/2006/relationships/package" Target="embeddings/Microsoft_Visio_Drawing333.vsdx"/><Relationship Id="rId5" Type="http://schemas.openxmlformats.org/officeDocument/2006/relationships/image" Target="media/image1.emf"/><Relationship Id="rId15" Type="http://schemas.openxmlformats.org/officeDocument/2006/relationships/package" Target="embeddings/Microsoft_Visio_Drawing555.vsdx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package" Target="embeddings/Microsoft_Visio_Drawing222.vsdx"/><Relationship Id="rId14" Type="http://schemas.openxmlformats.org/officeDocument/2006/relationships/image" Target="media/image6.em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1122</Words>
  <Characters>6060</Characters>
  <Application>Microsoft Office Word</Application>
  <DocSecurity>0</DocSecurity>
  <Lines>50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André  Onofre Oliveira</dc:creator>
  <cp:keywords/>
  <dc:description/>
  <cp:lastModifiedBy>Arlindo Ferreira Sebastao</cp:lastModifiedBy>
  <cp:revision>7</cp:revision>
  <dcterms:created xsi:type="dcterms:W3CDTF">2017-08-08T20:55:00Z</dcterms:created>
  <dcterms:modified xsi:type="dcterms:W3CDTF">2018-02-06T15:19:00Z</dcterms:modified>
</cp:coreProperties>
</file>